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1F6A48" w:rsidRDefault="00491976" w:rsidP="00C047D2">
            <w:pPr>
              <w:jc w:val="center"/>
              <w:rPr>
                <w:b/>
                <w:sz w:val="24"/>
                <w:szCs w:val="24"/>
              </w:rPr>
            </w:pPr>
            <w:r w:rsidRPr="001F6A48">
              <w:rPr>
                <w:b/>
                <w:sz w:val="24"/>
                <w:szCs w:val="24"/>
              </w:rPr>
              <w:t>C</w:t>
            </w:r>
            <w:r w:rsidR="00C047D2" w:rsidRPr="001F6A48">
              <w:rPr>
                <w:b/>
                <w:sz w:val="24"/>
                <w:szCs w:val="24"/>
              </w:rPr>
              <w:t>OUNCIL</w:t>
            </w:r>
          </w:p>
        </w:tc>
        <w:tc>
          <w:tcPr>
            <w:tcW w:w="2410" w:type="dxa"/>
            <w:tcBorders>
              <w:bottom w:val="nil"/>
            </w:tcBorders>
            <w:vAlign w:val="center"/>
          </w:tcPr>
          <w:p w:rsidR="00491976" w:rsidRPr="001F6A48" w:rsidRDefault="00C047D2" w:rsidP="00465EBF">
            <w:pPr>
              <w:jc w:val="center"/>
              <w:rPr>
                <w:b/>
              </w:rPr>
            </w:pPr>
            <w:r w:rsidRPr="001F6A48">
              <w:rPr>
                <w:b/>
              </w:rPr>
              <w:t>27 FEBRUARY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465EBF" w:rsidRDefault="00491976" w:rsidP="00AC4A99"/>
          <w:p w:rsidR="00491976" w:rsidRPr="00465EBF" w:rsidRDefault="00C047D2" w:rsidP="00C047D2">
            <w:pPr>
              <w:jc w:val="center"/>
              <w:rPr>
                <w:i/>
              </w:rPr>
            </w:pPr>
            <w:r w:rsidRPr="00465EBF">
              <w:t>C</w:t>
            </w:r>
            <w:r w:rsidR="00465EBF">
              <w:t xml:space="preserve">ouncil Tax Setting </w:t>
            </w:r>
            <w:r w:rsidRPr="00465EBF">
              <w:t>2019-20</w:t>
            </w:r>
          </w:p>
          <w:p w:rsidR="00491976" w:rsidRPr="00465EBF" w:rsidRDefault="00491976" w:rsidP="00AC4A99"/>
        </w:tc>
        <w:tc>
          <w:tcPr>
            <w:tcW w:w="2410" w:type="dxa"/>
            <w:vAlign w:val="center"/>
          </w:tcPr>
          <w:p w:rsidR="00491976" w:rsidRPr="00465EBF" w:rsidRDefault="00465EBF" w:rsidP="00465EBF">
            <w:pPr>
              <w:jc w:val="center"/>
            </w:pPr>
            <w:r>
              <w:t>Finance</w:t>
            </w:r>
          </w:p>
        </w:tc>
        <w:tc>
          <w:tcPr>
            <w:tcW w:w="2551" w:type="dxa"/>
            <w:vAlign w:val="center"/>
          </w:tcPr>
          <w:p w:rsidR="00491976" w:rsidRPr="00465EBF" w:rsidRDefault="00465EBF" w:rsidP="00432BA9">
            <w:pPr>
              <w:jc w:val="center"/>
            </w:pPr>
            <w:r w:rsidRPr="00465EBF">
              <w:t>Director of Customer and Digital</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286F4C" w:rsidRDefault="002F5C5E" w:rsidP="00AC4A99">
            <w:pPr>
              <w:tabs>
                <w:tab w:val="left" w:pos="1055"/>
              </w:tabs>
              <w:rPr>
                <w:i/>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p>
          <w:p w:rsidR="002F5C5E" w:rsidRPr="00286F4C" w:rsidRDefault="002F5C5E" w:rsidP="00AC4A99">
            <w:pPr>
              <w:rPr>
                <w:szCs w:val="22"/>
              </w:rPr>
            </w:pP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AC4A99">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Yes </w:t>
            </w:r>
          </w:p>
          <w:p w:rsidR="002F5C5E" w:rsidRDefault="002F5C5E" w:rsidP="00AC4A99">
            <w:pPr>
              <w:rPr>
                <w:szCs w:val="22"/>
              </w:rPr>
            </w:pPr>
          </w:p>
          <w:p w:rsidR="00C047D2" w:rsidRPr="009C1143" w:rsidRDefault="00C047D2" w:rsidP="00AC4A99">
            <w:pPr>
              <w:rPr>
                <w:szCs w:val="22"/>
              </w:rPr>
            </w:pPr>
          </w:p>
          <w:p w:rsidR="002F5C5E" w:rsidRDefault="00C047D2" w:rsidP="00AC4A99">
            <w:pPr>
              <w:rPr>
                <w:b/>
                <w:szCs w:val="22"/>
              </w:rPr>
            </w:pPr>
            <w:r>
              <w:rPr>
                <w:b/>
                <w:szCs w:val="22"/>
              </w:rPr>
              <w:t>Yes</w:t>
            </w:r>
          </w:p>
          <w:p w:rsidR="00594D09" w:rsidRPr="00286F4C" w:rsidRDefault="00594D09" w:rsidP="00594D09">
            <w:pPr>
              <w:rPr>
                <w:szCs w:val="22"/>
              </w:rPr>
            </w:pPr>
          </w:p>
          <w:p w:rsidR="002F5C5E" w:rsidRPr="00F3057A" w:rsidRDefault="002F5C5E" w:rsidP="00AC4A99">
            <w:pPr>
              <w:rPr>
                <w:b/>
                <w:szCs w:val="22"/>
              </w:rPr>
            </w:pPr>
          </w:p>
          <w:p w:rsidR="002F5C5E" w:rsidRDefault="002F5C5E" w:rsidP="00AC4A99">
            <w:pPr>
              <w:rPr>
                <w:b/>
                <w:szCs w:val="22"/>
              </w:rPr>
            </w:pPr>
            <w:r w:rsidRPr="00F3057A">
              <w:rPr>
                <w:b/>
                <w:szCs w:val="22"/>
              </w:rPr>
              <w:t>Yes</w:t>
            </w:r>
          </w:p>
          <w:p w:rsidR="00E50A9C" w:rsidRDefault="00E50A9C" w:rsidP="00AC4A99">
            <w:pPr>
              <w:rPr>
                <w:b/>
                <w:szCs w:val="22"/>
              </w:rPr>
            </w:pPr>
          </w:p>
          <w:p w:rsidR="00C047D2" w:rsidRDefault="00C047D2" w:rsidP="00AC4A99">
            <w:pPr>
              <w:rPr>
                <w:b/>
                <w:szCs w:val="22"/>
              </w:rPr>
            </w:pP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AC4A99">
            <w:pPr>
              <w:rPr>
                <w:szCs w:val="22"/>
              </w:rPr>
            </w:pPr>
          </w:p>
        </w:tc>
      </w:tr>
    </w:tbl>
    <w:p w:rsidR="002F5C5E" w:rsidRDefault="002F5C5E" w:rsidP="002F5C5E">
      <w:pPr>
        <w:rPr>
          <w:color w:val="000000"/>
          <w:szCs w:val="22"/>
        </w:rPr>
      </w:pPr>
    </w:p>
    <w:p w:rsidR="00167713" w:rsidRPr="009C1143" w:rsidRDefault="00167713" w:rsidP="002F5C5E">
      <w:pPr>
        <w:rPr>
          <w:color w:val="000000"/>
          <w:szCs w:val="22"/>
        </w:rPr>
      </w:pPr>
    </w:p>
    <w:p w:rsidR="008C04DA" w:rsidRDefault="00594D09" w:rsidP="00C047D2">
      <w:pPr>
        <w:keepNext/>
        <w:ind w:left="567" w:hanging="567"/>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8747BD" w:rsidRDefault="008747BD" w:rsidP="007A0801">
      <w:pPr>
        <w:keepNext/>
        <w:numPr>
          <w:ilvl w:val="1"/>
          <w:numId w:val="8"/>
        </w:numPr>
        <w:ind w:left="567" w:hanging="567"/>
        <w:outlineLvl w:val="0"/>
        <w:rPr>
          <w:b/>
          <w:szCs w:val="22"/>
        </w:rPr>
      </w:pPr>
      <w:r>
        <w:rPr>
          <w:color w:val="000000"/>
        </w:rPr>
        <w:t xml:space="preserve">The purpose of this report is to enable the Council to calculate and set the Council Tax for </w:t>
      </w:r>
      <w:r w:rsidRPr="008747BD">
        <w:rPr>
          <w:color w:val="000000"/>
        </w:rPr>
        <w:t>2019/20.</w:t>
      </w:r>
    </w:p>
    <w:p w:rsidR="002F5C5E" w:rsidRPr="00286F4C" w:rsidRDefault="002F5C5E" w:rsidP="002F5C5E">
      <w:pPr>
        <w:rPr>
          <w:szCs w:val="22"/>
        </w:rPr>
      </w:pPr>
    </w:p>
    <w:p w:rsidR="002F5C5E" w:rsidRPr="00286F4C" w:rsidRDefault="005A1AC8" w:rsidP="0065176C">
      <w:pPr>
        <w:keepNext/>
        <w:numPr>
          <w:ilvl w:val="0"/>
          <w:numId w:val="8"/>
        </w:numPr>
        <w:ind w:left="567" w:hanging="567"/>
        <w:outlineLvl w:val="0"/>
        <w:rPr>
          <w:b/>
          <w:szCs w:val="22"/>
        </w:rPr>
      </w:pPr>
      <w:r>
        <w:rPr>
          <w:b/>
          <w:szCs w:val="22"/>
        </w:rPr>
        <w:lastRenderedPageBreak/>
        <w:t>COUNCIL</w:t>
      </w:r>
      <w:r w:rsidR="00A162DE" w:rsidRPr="00286F4C">
        <w:rPr>
          <w:b/>
          <w:szCs w:val="22"/>
        </w:rPr>
        <w:t xml:space="preserve"> </w:t>
      </w:r>
      <w:r w:rsidR="002F5C5E" w:rsidRPr="00286F4C">
        <w:rPr>
          <w:b/>
          <w:szCs w:val="22"/>
        </w:rPr>
        <w:t>RECOMMENDATIONS</w:t>
      </w:r>
    </w:p>
    <w:p w:rsidR="007A0801" w:rsidRPr="00286F4C" w:rsidRDefault="007A0801" w:rsidP="00C047D2">
      <w:pPr>
        <w:keepNext/>
        <w:outlineLvl w:val="0"/>
        <w:rPr>
          <w:b/>
          <w:szCs w:val="22"/>
        </w:rPr>
      </w:pPr>
    </w:p>
    <w:p w:rsidR="002F5C5E" w:rsidRPr="00526FCA" w:rsidRDefault="00526FCA" w:rsidP="007A0801">
      <w:pPr>
        <w:keepNext/>
        <w:numPr>
          <w:ilvl w:val="1"/>
          <w:numId w:val="8"/>
        </w:numPr>
        <w:ind w:left="567" w:hanging="567"/>
        <w:outlineLvl w:val="0"/>
        <w:rPr>
          <w:b/>
          <w:szCs w:val="22"/>
        </w:rPr>
      </w:pPr>
      <w:r>
        <w:t xml:space="preserve">That the Council approve the formal Council Tax resolution appended to this report and in doing so, approve the </w:t>
      </w:r>
      <w:r>
        <w:rPr>
          <w:rFonts w:ascii="Helvetica" w:hAnsi="Helvetica" w:cs="Helvetica"/>
          <w:lang w:eastAsia="en-US"/>
        </w:rPr>
        <w:t xml:space="preserve">Council’s </w:t>
      </w:r>
      <w:r w:rsidRPr="00526FCA">
        <w:rPr>
          <w:rFonts w:ascii="Helvetica" w:hAnsi="Helvetica" w:cs="Helvetica"/>
          <w:lang w:eastAsia="en-US"/>
        </w:rPr>
        <w:t>budget for 2019/20.</w:t>
      </w:r>
    </w:p>
    <w:p w:rsidR="002F5C5E" w:rsidRPr="00286F4C" w:rsidRDefault="002F5C5E" w:rsidP="002F5C5E">
      <w:pPr>
        <w:rPr>
          <w:szCs w:val="22"/>
        </w:rPr>
      </w:pPr>
    </w:p>
    <w:p w:rsidR="00BD2AFE" w:rsidRPr="00167713" w:rsidRDefault="00CC4337" w:rsidP="00CC4337">
      <w:pPr>
        <w:numPr>
          <w:ilvl w:val="0"/>
          <w:numId w:val="8"/>
        </w:numPr>
        <w:ind w:left="567" w:hanging="567"/>
        <w:rPr>
          <w:b/>
          <w:szCs w:val="22"/>
        </w:rPr>
      </w:pPr>
      <w:r w:rsidRPr="00167713">
        <w:rPr>
          <w:b/>
          <w:szCs w:val="22"/>
        </w:rPr>
        <w:t>REASONS FOR THE DECISION</w:t>
      </w:r>
    </w:p>
    <w:p w:rsidR="007A0801" w:rsidRPr="00286F4C" w:rsidRDefault="007A0801" w:rsidP="00C047D2">
      <w:pPr>
        <w:rPr>
          <w:szCs w:val="22"/>
        </w:rPr>
      </w:pPr>
    </w:p>
    <w:p w:rsidR="00167713" w:rsidRPr="00167713" w:rsidRDefault="00CC4337" w:rsidP="002A1841">
      <w:pPr>
        <w:ind w:left="567" w:hanging="567"/>
        <w:jc w:val="both"/>
      </w:pPr>
      <w:r w:rsidRPr="00286F4C">
        <w:rPr>
          <w:szCs w:val="22"/>
        </w:rPr>
        <w:t>3.1</w:t>
      </w:r>
      <w:r w:rsidRPr="00286F4C">
        <w:rPr>
          <w:szCs w:val="22"/>
        </w:rPr>
        <w:tab/>
      </w:r>
      <w:r w:rsidR="00167713" w:rsidRPr="00167713">
        <w:t>At its meeting on 13</w:t>
      </w:r>
      <w:r w:rsidR="00167713" w:rsidRPr="00167713">
        <w:rPr>
          <w:vertAlign w:val="superscript"/>
        </w:rPr>
        <w:t>th</w:t>
      </w:r>
      <w:r w:rsidR="00167713" w:rsidRPr="00167713">
        <w:t xml:space="preserve"> February 2019, the Cabinet considered the updated financial strategy and draft budget proposals for the coming year.  The Cabinet has made a number of recommendations concerning the budget for 2019/20, which included a proposal to increase the Council Tax by 1.99%. Taking into consideration the proposal to increase the Band D Council Tax by 1.99% to £218.88 (excluding parish and town council precepts), the draft resolution, incorporating the recommendations from the Cabinet, is now appended to this report for consideration and approval. </w:t>
      </w:r>
    </w:p>
    <w:p w:rsidR="00167713" w:rsidRPr="00167713" w:rsidRDefault="00167713" w:rsidP="002A1841">
      <w:pPr>
        <w:ind w:left="567" w:hanging="567"/>
        <w:jc w:val="both"/>
      </w:pPr>
    </w:p>
    <w:p w:rsidR="00167713" w:rsidRPr="002A1841" w:rsidRDefault="00167713" w:rsidP="002A1841">
      <w:pPr>
        <w:ind w:left="567"/>
        <w:jc w:val="both"/>
        <w:rPr>
          <w:szCs w:val="22"/>
        </w:rPr>
      </w:pPr>
      <w:r w:rsidRPr="00167713">
        <w:rPr>
          <w:szCs w:val="22"/>
        </w:rPr>
        <w:t>As the “Billing Authority” for the South Ribble area, the Council also collects the Council Tax on behalf</w:t>
      </w:r>
      <w:r w:rsidRPr="002A1841">
        <w:rPr>
          <w:szCs w:val="22"/>
        </w:rPr>
        <w:t xml:space="preserve"> of the County Council, Police and Crime Commissioner, Combined Fire Authority and Parish/Town Councils.  The appropriate share of the money collected is paid over to these organisations to help pay for the services they are responsible for delivering.  The Council Tax </w:t>
      </w:r>
      <w:r w:rsidR="002A1841">
        <w:rPr>
          <w:szCs w:val="22"/>
        </w:rPr>
        <w:t xml:space="preserve">which is </w:t>
      </w:r>
      <w:r w:rsidRPr="002A1841">
        <w:rPr>
          <w:szCs w:val="22"/>
        </w:rPr>
        <w:t>already agreed separately by each of these organisations, and for which they are individually accountable, is set out below and in the draft resolution.</w:t>
      </w:r>
    </w:p>
    <w:p w:rsidR="00167713" w:rsidRPr="00167713" w:rsidRDefault="00167713" w:rsidP="002A1841">
      <w:pPr>
        <w:ind w:left="567" w:hanging="567"/>
        <w:jc w:val="both"/>
      </w:pPr>
    </w:p>
    <w:p w:rsidR="00167713" w:rsidRPr="00167713" w:rsidRDefault="00167713" w:rsidP="002A1841">
      <w:pPr>
        <w:ind w:left="567" w:hanging="567"/>
        <w:jc w:val="both"/>
      </w:pPr>
    </w:p>
    <w:p w:rsidR="00167713" w:rsidRPr="00167713" w:rsidRDefault="002A1841" w:rsidP="00465EBF">
      <w:pPr>
        <w:ind w:left="567"/>
      </w:pPr>
      <w:r>
        <w:rPr>
          <w:b/>
          <w:bCs/>
        </w:rPr>
        <w:br w:type="page"/>
      </w:r>
      <w:bookmarkStart w:id="0" w:name="_GoBack"/>
      <w:bookmarkEnd w:id="0"/>
      <w:r w:rsidR="00167713" w:rsidRPr="00167713">
        <w:rPr>
          <w:b/>
          <w:bCs/>
        </w:rPr>
        <w:lastRenderedPageBreak/>
        <w:t xml:space="preserve">Town &amp; Parish Councils </w:t>
      </w:r>
    </w:p>
    <w:p w:rsidR="00167713" w:rsidRPr="00167713" w:rsidRDefault="002A1841" w:rsidP="002A1841">
      <w:pPr>
        <w:tabs>
          <w:tab w:val="left" w:pos="9638"/>
        </w:tabs>
        <w:autoSpaceDE w:val="0"/>
        <w:autoSpaceDN w:val="0"/>
        <w:adjustRightInd w:val="0"/>
        <w:spacing w:before="120"/>
        <w:ind w:left="567" w:hanging="567"/>
        <w:jc w:val="both"/>
      </w:pPr>
      <w:r>
        <w:tab/>
      </w:r>
      <w:r w:rsidR="00167713" w:rsidRPr="00167713">
        <w:t xml:space="preserve">The Town &amp; Parish Council Precepts for 2019/20 are detailed together with a comparison with 2018/19 in Appendix C and total £397,104. </w:t>
      </w:r>
    </w:p>
    <w:p w:rsidR="00167713" w:rsidRPr="00167713" w:rsidRDefault="00167713" w:rsidP="002A1841">
      <w:pPr>
        <w:autoSpaceDE w:val="0"/>
        <w:autoSpaceDN w:val="0"/>
        <w:adjustRightInd w:val="0"/>
        <w:ind w:left="567" w:right="560" w:hanging="567"/>
        <w:jc w:val="both"/>
      </w:pPr>
    </w:p>
    <w:p w:rsidR="00167713" w:rsidRPr="00167713" w:rsidRDefault="00167713" w:rsidP="002A1841">
      <w:pPr>
        <w:autoSpaceDE w:val="0"/>
        <w:autoSpaceDN w:val="0"/>
        <w:adjustRightInd w:val="0"/>
        <w:ind w:left="567" w:right="-1"/>
        <w:jc w:val="both"/>
      </w:pPr>
      <w:r w:rsidRPr="00167713">
        <w:t xml:space="preserve">The changes included within The Local Authorities (Calculation of Council Tax Base) (England) Regulations 2012, mean that these precepts take into account the cost of localised Council Tax Support. </w:t>
      </w:r>
    </w:p>
    <w:p w:rsidR="00167713" w:rsidRPr="00167713" w:rsidRDefault="00167713" w:rsidP="002A1841">
      <w:pPr>
        <w:autoSpaceDE w:val="0"/>
        <w:autoSpaceDN w:val="0"/>
        <w:adjustRightInd w:val="0"/>
        <w:ind w:left="567" w:right="-1" w:hanging="567"/>
        <w:jc w:val="both"/>
      </w:pPr>
    </w:p>
    <w:p w:rsidR="00167713" w:rsidRPr="00167713" w:rsidRDefault="00167713" w:rsidP="002A1841">
      <w:pPr>
        <w:autoSpaceDE w:val="0"/>
        <w:autoSpaceDN w:val="0"/>
        <w:adjustRightInd w:val="0"/>
        <w:ind w:left="567" w:right="-1"/>
        <w:jc w:val="both"/>
      </w:pPr>
      <w:r w:rsidRPr="00167713">
        <w:t xml:space="preserve">There has been an overall increase in the average Band D Council Tax for Town and Parish Councils of 8.1% and this results in an average Band D Council Tax figure of £11.10 for 2019/20. </w:t>
      </w:r>
    </w:p>
    <w:p w:rsidR="00167713" w:rsidRPr="00167713" w:rsidRDefault="00167713" w:rsidP="002A1841">
      <w:pPr>
        <w:autoSpaceDE w:val="0"/>
        <w:autoSpaceDN w:val="0"/>
        <w:adjustRightInd w:val="0"/>
        <w:ind w:left="567" w:right="560" w:hanging="567"/>
        <w:jc w:val="both"/>
      </w:pPr>
    </w:p>
    <w:p w:rsidR="00167713" w:rsidRPr="00167713" w:rsidRDefault="00167713" w:rsidP="002A1841">
      <w:pPr>
        <w:autoSpaceDE w:val="0"/>
        <w:autoSpaceDN w:val="0"/>
        <w:adjustRightInd w:val="0"/>
        <w:ind w:left="567"/>
        <w:jc w:val="both"/>
      </w:pPr>
      <w:r w:rsidRPr="00167713">
        <w:rPr>
          <w:b/>
          <w:bCs/>
        </w:rPr>
        <w:t xml:space="preserve">Lancashire County Council </w:t>
      </w:r>
    </w:p>
    <w:p w:rsidR="00167713" w:rsidRPr="00167713" w:rsidRDefault="00167713" w:rsidP="002A1841">
      <w:pPr>
        <w:autoSpaceDE w:val="0"/>
        <w:autoSpaceDN w:val="0"/>
        <w:adjustRightInd w:val="0"/>
        <w:spacing w:before="120"/>
        <w:ind w:left="567"/>
        <w:jc w:val="both"/>
      </w:pPr>
      <w:r w:rsidRPr="00167713">
        <w:t xml:space="preserve">Lancashire County Council met on 14th February 2019 and set their precept at £48,190,955, in addition a contribution of £566,190 will be made from the surplus in the Collection Fund. This results in a Band D Council Tax of £1,346.59, which is an increase of 3.99% when compared to the current year’s charge.  Following an offer from the Secretary of State for Communities and Local Government, Lancashire County Council has decided to increase their 2019/20 Council Tax by an additional 1% (up to a total of 3.99%) without being required to hold a referendum, to assist the authority in meeting expenditure on adult social care. </w:t>
      </w:r>
    </w:p>
    <w:p w:rsidR="00167713" w:rsidRPr="00167713" w:rsidRDefault="00167713" w:rsidP="002A1841">
      <w:pPr>
        <w:autoSpaceDE w:val="0"/>
        <w:autoSpaceDN w:val="0"/>
        <w:adjustRightInd w:val="0"/>
        <w:ind w:left="567" w:hanging="567"/>
        <w:jc w:val="both"/>
      </w:pPr>
    </w:p>
    <w:p w:rsidR="00167713" w:rsidRPr="00167713" w:rsidRDefault="00167713" w:rsidP="002A1841">
      <w:pPr>
        <w:autoSpaceDE w:val="0"/>
        <w:autoSpaceDN w:val="0"/>
        <w:adjustRightInd w:val="0"/>
        <w:ind w:left="567"/>
        <w:jc w:val="both"/>
      </w:pPr>
      <w:r w:rsidRPr="00167713">
        <w:rPr>
          <w:b/>
          <w:bCs/>
        </w:rPr>
        <w:t xml:space="preserve">Police and Crime Commissioner for Lancashire </w:t>
      </w:r>
    </w:p>
    <w:p w:rsidR="00167713" w:rsidRPr="00167713" w:rsidRDefault="00167713" w:rsidP="002A1841">
      <w:pPr>
        <w:autoSpaceDE w:val="0"/>
        <w:autoSpaceDN w:val="0"/>
        <w:adjustRightInd w:val="0"/>
        <w:spacing w:before="120"/>
        <w:ind w:left="567"/>
        <w:jc w:val="both"/>
      </w:pPr>
      <w:r w:rsidRPr="00167713">
        <w:t>The Police and Crime Commissioner for Lancashire on 13</w:t>
      </w:r>
      <w:r w:rsidRPr="00167713">
        <w:rPr>
          <w:vertAlign w:val="superscript"/>
        </w:rPr>
        <w:t>th</w:t>
      </w:r>
      <w:r w:rsidRPr="00167713">
        <w:t xml:space="preserve"> February 2019 agreed a precept of £7,209,371, in addition a contribution of £77,622 will be made from the surplus in the Collection </w:t>
      </w:r>
      <w:r w:rsidRPr="00167713">
        <w:lastRenderedPageBreak/>
        <w:t xml:space="preserve">Fund. This results in a Band D Council Tax of £201.45, an increase of 13.53% on the current year’s charge. </w:t>
      </w:r>
    </w:p>
    <w:p w:rsidR="00167713" w:rsidRPr="00167713" w:rsidRDefault="00167713" w:rsidP="002A1841">
      <w:pPr>
        <w:autoSpaceDE w:val="0"/>
        <w:autoSpaceDN w:val="0"/>
        <w:adjustRightInd w:val="0"/>
        <w:ind w:left="567" w:hanging="567"/>
        <w:jc w:val="both"/>
      </w:pPr>
    </w:p>
    <w:p w:rsidR="00167713" w:rsidRPr="00167713" w:rsidRDefault="00167713" w:rsidP="002A1841">
      <w:pPr>
        <w:autoSpaceDE w:val="0"/>
        <w:autoSpaceDN w:val="0"/>
        <w:adjustRightInd w:val="0"/>
        <w:ind w:left="567"/>
        <w:jc w:val="both"/>
      </w:pPr>
      <w:r w:rsidRPr="00167713">
        <w:rPr>
          <w:b/>
          <w:bCs/>
        </w:rPr>
        <w:t xml:space="preserve">Lancashire Combined Fire Authority </w:t>
      </w:r>
    </w:p>
    <w:p w:rsidR="00167713" w:rsidRPr="00975D65" w:rsidRDefault="00167713" w:rsidP="002A1841">
      <w:pPr>
        <w:autoSpaceDE w:val="0"/>
        <w:autoSpaceDN w:val="0"/>
        <w:adjustRightInd w:val="0"/>
        <w:spacing w:before="120"/>
        <w:ind w:left="567"/>
        <w:jc w:val="both"/>
        <w:rPr>
          <w:color w:val="000000"/>
        </w:rPr>
      </w:pPr>
      <w:r w:rsidRPr="00167713">
        <w:t>Lancashire Combined Fire Authority met on 18th February 2019 and set their precept at £2,486,509, in addition a contribution of £29,475 will be made from the surplus in the Collection Fund. This results in a Band D Council Tax of £69.48, an increase of 2.99% when compared to the current year’s charge</w:t>
      </w:r>
      <w:r w:rsidRPr="00546516">
        <w:rPr>
          <w:color w:val="000000"/>
        </w:rPr>
        <w:t>.</w:t>
      </w:r>
      <w:r>
        <w:rPr>
          <w:color w:val="000000"/>
        </w:rPr>
        <w:t xml:space="preserve"> </w:t>
      </w:r>
    </w:p>
    <w:p w:rsidR="00167713" w:rsidRDefault="00167713" w:rsidP="002A1841">
      <w:pPr>
        <w:ind w:left="567" w:hanging="567"/>
        <w:jc w:val="both"/>
      </w:pPr>
    </w:p>
    <w:tbl>
      <w:tblPr>
        <w:tblW w:w="9796" w:type="dxa"/>
        <w:tblInd w:w="93" w:type="dxa"/>
        <w:tblLook w:val="00A0" w:firstRow="1" w:lastRow="0" w:firstColumn="1" w:lastColumn="0" w:noHBand="0" w:noVBand="0"/>
      </w:tblPr>
      <w:tblGrid>
        <w:gridCol w:w="4597"/>
        <w:gridCol w:w="1486"/>
        <w:gridCol w:w="1601"/>
        <w:gridCol w:w="2112"/>
      </w:tblGrid>
      <w:tr w:rsidR="00167713" w:rsidRPr="00EE1C89" w:rsidTr="00277F4B">
        <w:trPr>
          <w:trHeight w:val="256"/>
        </w:trPr>
        <w:tc>
          <w:tcPr>
            <w:tcW w:w="4597" w:type="dxa"/>
            <w:tcBorders>
              <w:top w:val="single" w:sz="8" w:space="0" w:color="auto"/>
              <w:left w:val="single" w:sz="8" w:space="0" w:color="auto"/>
              <w:bottom w:val="single" w:sz="8" w:space="0" w:color="auto"/>
              <w:right w:val="single" w:sz="8" w:space="0" w:color="000000"/>
            </w:tcBorders>
            <w:noWrap/>
            <w:vAlign w:val="center"/>
          </w:tcPr>
          <w:p w:rsidR="00167713" w:rsidRPr="00EE1C89" w:rsidRDefault="00167713" w:rsidP="002A1841">
            <w:pPr>
              <w:ind w:left="567" w:hanging="567"/>
              <w:rPr>
                <w:b/>
                <w:bCs/>
                <w:sz w:val="20"/>
              </w:rPr>
            </w:pPr>
          </w:p>
        </w:tc>
        <w:tc>
          <w:tcPr>
            <w:tcW w:w="1486" w:type="dxa"/>
            <w:tcBorders>
              <w:top w:val="single" w:sz="8" w:space="0" w:color="auto"/>
              <w:left w:val="nil"/>
              <w:bottom w:val="single" w:sz="8" w:space="0" w:color="auto"/>
              <w:right w:val="single" w:sz="4" w:space="0" w:color="auto"/>
            </w:tcBorders>
            <w:noWrap/>
          </w:tcPr>
          <w:p w:rsidR="00167713" w:rsidRPr="001D2BD2" w:rsidRDefault="00167713" w:rsidP="002A1841">
            <w:pPr>
              <w:ind w:left="567" w:hanging="567"/>
              <w:jc w:val="center"/>
              <w:rPr>
                <w:b/>
                <w:sz w:val="20"/>
              </w:rPr>
            </w:pPr>
            <w:r w:rsidRPr="001D2BD2">
              <w:rPr>
                <w:b/>
                <w:sz w:val="20"/>
              </w:rPr>
              <w:t>2018</w:t>
            </w:r>
            <w:r>
              <w:rPr>
                <w:b/>
                <w:sz w:val="20"/>
              </w:rPr>
              <w:t>/</w:t>
            </w:r>
            <w:r w:rsidRPr="001D2BD2">
              <w:rPr>
                <w:b/>
                <w:sz w:val="20"/>
              </w:rPr>
              <w:t>19</w:t>
            </w:r>
          </w:p>
        </w:tc>
        <w:tc>
          <w:tcPr>
            <w:tcW w:w="1601" w:type="dxa"/>
            <w:tcBorders>
              <w:top w:val="single" w:sz="8" w:space="0" w:color="auto"/>
              <w:left w:val="nil"/>
              <w:bottom w:val="single" w:sz="8" w:space="0" w:color="auto"/>
              <w:right w:val="single" w:sz="4" w:space="0" w:color="auto"/>
            </w:tcBorders>
            <w:noWrap/>
            <w:vAlign w:val="center"/>
          </w:tcPr>
          <w:p w:rsidR="00167713" w:rsidRPr="00EE1C89" w:rsidRDefault="00167713" w:rsidP="002A1841">
            <w:pPr>
              <w:ind w:left="567" w:hanging="567"/>
              <w:jc w:val="center"/>
              <w:rPr>
                <w:b/>
                <w:bCs/>
                <w:sz w:val="20"/>
              </w:rPr>
            </w:pPr>
            <w:r w:rsidRPr="00EE1C89">
              <w:rPr>
                <w:b/>
                <w:bCs/>
                <w:sz w:val="20"/>
              </w:rPr>
              <w:t>20</w:t>
            </w:r>
            <w:r>
              <w:rPr>
                <w:b/>
                <w:bCs/>
                <w:sz w:val="20"/>
              </w:rPr>
              <w:t>19/20</w:t>
            </w:r>
          </w:p>
        </w:tc>
        <w:tc>
          <w:tcPr>
            <w:tcW w:w="2112" w:type="dxa"/>
            <w:tcBorders>
              <w:top w:val="single" w:sz="8" w:space="0" w:color="auto"/>
              <w:left w:val="nil"/>
              <w:bottom w:val="single" w:sz="8" w:space="0" w:color="auto"/>
              <w:right w:val="single" w:sz="8" w:space="0" w:color="auto"/>
            </w:tcBorders>
            <w:noWrap/>
            <w:vAlign w:val="center"/>
          </w:tcPr>
          <w:p w:rsidR="00167713" w:rsidRPr="00EE1C89" w:rsidRDefault="00167713" w:rsidP="002A1841">
            <w:pPr>
              <w:ind w:left="567" w:hanging="567"/>
              <w:jc w:val="center"/>
              <w:rPr>
                <w:b/>
                <w:bCs/>
                <w:sz w:val="20"/>
              </w:rPr>
            </w:pPr>
            <w:r w:rsidRPr="00EE1C89">
              <w:rPr>
                <w:b/>
                <w:bCs/>
                <w:sz w:val="20"/>
              </w:rPr>
              <w:t>Increase</w:t>
            </w:r>
            <w:r>
              <w:rPr>
                <w:b/>
                <w:bCs/>
                <w:sz w:val="20"/>
              </w:rPr>
              <w:t>/Decrease</w:t>
            </w:r>
          </w:p>
        </w:tc>
      </w:tr>
      <w:tr w:rsidR="00167713" w:rsidRPr="00EE1C89" w:rsidTr="00277F4B">
        <w:trPr>
          <w:trHeight w:val="242"/>
        </w:trPr>
        <w:tc>
          <w:tcPr>
            <w:tcW w:w="4597" w:type="dxa"/>
            <w:tcBorders>
              <w:top w:val="nil"/>
              <w:left w:val="single" w:sz="8" w:space="0" w:color="auto"/>
              <w:bottom w:val="single" w:sz="4" w:space="0" w:color="auto"/>
              <w:right w:val="single" w:sz="8" w:space="0" w:color="000000"/>
            </w:tcBorders>
            <w:noWrap/>
            <w:vAlign w:val="center"/>
          </w:tcPr>
          <w:p w:rsidR="00167713" w:rsidRPr="00EE1C89" w:rsidRDefault="00167713" w:rsidP="002A1841">
            <w:pPr>
              <w:ind w:left="567" w:hanging="567"/>
              <w:rPr>
                <w:sz w:val="20"/>
              </w:rPr>
            </w:pPr>
            <w:r w:rsidRPr="00EE1C89">
              <w:rPr>
                <w:sz w:val="20"/>
              </w:rPr>
              <w:t>South Ribble Borough Council</w:t>
            </w:r>
          </w:p>
        </w:tc>
        <w:tc>
          <w:tcPr>
            <w:tcW w:w="1486" w:type="dxa"/>
            <w:tcBorders>
              <w:top w:val="nil"/>
              <w:left w:val="nil"/>
              <w:bottom w:val="single" w:sz="4" w:space="0" w:color="auto"/>
              <w:right w:val="single" w:sz="4" w:space="0" w:color="auto"/>
            </w:tcBorders>
            <w:noWrap/>
          </w:tcPr>
          <w:p w:rsidR="00167713" w:rsidRPr="001D2BD2" w:rsidRDefault="00167713" w:rsidP="002A1841">
            <w:pPr>
              <w:ind w:left="567" w:hanging="567"/>
              <w:jc w:val="right"/>
              <w:rPr>
                <w:sz w:val="20"/>
              </w:rPr>
            </w:pPr>
            <w:r w:rsidRPr="001D2BD2">
              <w:rPr>
                <w:sz w:val="20"/>
              </w:rPr>
              <w:t>£214.61</w:t>
            </w:r>
          </w:p>
        </w:tc>
        <w:tc>
          <w:tcPr>
            <w:tcW w:w="1601" w:type="dxa"/>
            <w:tcBorders>
              <w:top w:val="nil"/>
              <w:left w:val="nil"/>
              <w:bottom w:val="single" w:sz="4" w:space="0" w:color="auto"/>
              <w:right w:val="single" w:sz="4" w:space="0" w:color="auto"/>
            </w:tcBorders>
            <w:noWrap/>
            <w:vAlign w:val="center"/>
          </w:tcPr>
          <w:p w:rsidR="00167713" w:rsidRPr="0018455A" w:rsidRDefault="00167713" w:rsidP="002A1841">
            <w:pPr>
              <w:ind w:left="567" w:hanging="567"/>
              <w:jc w:val="right"/>
              <w:rPr>
                <w:sz w:val="20"/>
              </w:rPr>
            </w:pPr>
            <w:r>
              <w:rPr>
                <w:sz w:val="20"/>
              </w:rPr>
              <w:t>£218.88</w:t>
            </w:r>
          </w:p>
        </w:tc>
        <w:tc>
          <w:tcPr>
            <w:tcW w:w="2112" w:type="dxa"/>
            <w:tcBorders>
              <w:top w:val="nil"/>
              <w:left w:val="nil"/>
              <w:bottom w:val="single" w:sz="4" w:space="0" w:color="auto"/>
              <w:right w:val="single" w:sz="8" w:space="0" w:color="auto"/>
            </w:tcBorders>
            <w:noWrap/>
            <w:vAlign w:val="center"/>
          </w:tcPr>
          <w:p w:rsidR="00167713" w:rsidRPr="0018455A" w:rsidRDefault="00167713" w:rsidP="002A1841">
            <w:pPr>
              <w:ind w:left="567" w:hanging="567"/>
              <w:jc w:val="center"/>
              <w:rPr>
                <w:sz w:val="20"/>
              </w:rPr>
            </w:pPr>
            <w:r>
              <w:rPr>
                <w:sz w:val="20"/>
              </w:rPr>
              <w:t>1</w:t>
            </w:r>
            <w:r w:rsidRPr="0018455A">
              <w:rPr>
                <w:sz w:val="20"/>
              </w:rPr>
              <w:t>.99%</w:t>
            </w:r>
          </w:p>
        </w:tc>
      </w:tr>
      <w:tr w:rsidR="00167713" w:rsidRPr="00EE1C89" w:rsidTr="00277F4B">
        <w:trPr>
          <w:trHeight w:val="242"/>
        </w:trPr>
        <w:tc>
          <w:tcPr>
            <w:tcW w:w="4597" w:type="dxa"/>
            <w:tcBorders>
              <w:top w:val="single" w:sz="4" w:space="0" w:color="auto"/>
              <w:left w:val="single" w:sz="8" w:space="0" w:color="auto"/>
              <w:bottom w:val="single" w:sz="4" w:space="0" w:color="auto"/>
              <w:right w:val="single" w:sz="8" w:space="0" w:color="000000"/>
            </w:tcBorders>
            <w:noWrap/>
            <w:vAlign w:val="center"/>
          </w:tcPr>
          <w:p w:rsidR="00167713" w:rsidRPr="00EE1C89" w:rsidRDefault="00167713" w:rsidP="002A1841">
            <w:pPr>
              <w:ind w:left="567" w:hanging="567"/>
              <w:rPr>
                <w:sz w:val="20"/>
              </w:rPr>
            </w:pPr>
            <w:r w:rsidRPr="00EE1C89">
              <w:rPr>
                <w:sz w:val="20"/>
              </w:rPr>
              <w:t>Lancashire County Council</w:t>
            </w:r>
          </w:p>
        </w:tc>
        <w:tc>
          <w:tcPr>
            <w:tcW w:w="1486" w:type="dxa"/>
            <w:tcBorders>
              <w:top w:val="nil"/>
              <w:left w:val="nil"/>
              <w:bottom w:val="single" w:sz="4" w:space="0" w:color="auto"/>
              <w:right w:val="single" w:sz="4" w:space="0" w:color="auto"/>
            </w:tcBorders>
            <w:noWrap/>
          </w:tcPr>
          <w:p w:rsidR="00167713" w:rsidRPr="001D2BD2" w:rsidRDefault="00167713" w:rsidP="002A1841">
            <w:pPr>
              <w:ind w:left="567" w:hanging="567"/>
              <w:jc w:val="right"/>
              <w:rPr>
                <w:sz w:val="20"/>
              </w:rPr>
            </w:pPr>
            <w:r w:rsidRPr="001D2BD2">
              <w:rPr>
                <w:sz w:val="20"/>
              </w:rPr>
              <w:t>£1,294.92</w:t>
            </w:r>
          </w:p>
        </w:tc>
        <w:tc>
          <w:tcPr>
            <w:tcW w:w="1601" w:type="dxa"/>
            <w:tcBorders>
              <w:top w:val="nil"/>
              <w:left w:val="nil"/>
              <w:bottom w:val="single" w:sz="4" w:space="0" w:color="auto"/>
              <w:right w:val="single" w:sz="4" w:space="0" w:color="auto"/>
            </w:tcBorders>
            <w:noWrap/>
            <w:vAlign w:val="center"/>
          </w:tcPr>
          <w:p w:rsidR="00167713" w:rsidRPr="00546516" w:rsidRDefault="00167713" w:rsidP="002A1841">
            <w:pPr>
              <w:ind w:left="567" w:hanging="567"/>
              <w:jc w:val="right"/>
              <w:rPr>
                <w:sz w:val="20"/>
              </w:rPr>
            </w:pPr>
            <w:r>
              <w:rPr>
                <w:sz w:val="20"/>
              </w:rPr>
              <w:t>£1,346.59</w:t>
            </w:r>
          </w:p>
        </w:tc>
        <w:tc>
          <w:tcPr>
            <w:tcW w:w="2112" w:type="dxa"/>
            <w:tcBorders>
              <w:top w:val="nil"/>
              <w:left w:val="nil"/>
              <w:bottom w:val="single" w:sz="4" w:space="0" w:color="auto"/>
              <w:right w:val="single" w:sz="8" w:space="0" w:color="auto"/>
            </w:tcBorders>
            <w:noWrap/>
            <w:vAlign w:val="center"/>
          </w:tcPr>
          <w:p w:rsidR="00167713" w:rsidRPr="00546516" w:rsidRDefault="00167713" w:rsidP="002A1841">
            <w:pPr>
              <w:ind w:left="567" w:hanging="567"/>
              <w:jc w:val="center"/>
              <w:rPr>
                <w:sz w:val="20"/>
              </w:rPr>
            </w:pPr>
            <w:r>
              <w:rPr>
                <w:sz w:val="20"/>
              </w:rPr>
              <w:t>3</w:t>
            </w:r>
            <w:r w:rsidRPr="00546516">
              <w:rPr>
                <w:sz w:val="20"/>
              </w:rPr>
              <w:t>.99%</w:t>
            </w:r>
          </w:p>
        </w:tc>
      </w:tr>
      <w:tr w:rsidR="00167713" w:rsidRPr="00EE1C89" w:rsidTr="00277F4B">
        <w:trPr>
          <w:trHeight w:val="242"/>
        </w:trPr>
        <w:tc>
          <w:tcPr>
            <w:tcW w:w="4597" w:type="dxa"/>
            <w:tcBorders>
              <w:top w:val="single" w:sz="4" w:space="0" w:color="auto"/>
              <w:left w:val="single" w:sz="8" w:space="0" w:color="auto"/>
              <w:bottom w:val="single" w:sz="4" w:space="0" w:color="auto"/>
              <w:right w:val="single" w:sz="8" w:space="0" w:color="000000"/>
            </w:tcBorders>
            <w:noWrap/>
            <w:vAlign w:val="center"/>
          </w:tcPr>
          <w:p w:rsidR="00167713" w:rsidRPr="00EE1C89" w:rsidRDefault="00167713" w:rsidP="002A1841">
            <w:pPr>
              <w:ind w:left="567" w:hanging="567"/>
              <w:rPr>
                <w:sz w:val="20"/>
              </w:rPr>
            </w:pPr>
            <w:r>
              <w:rPr>
                <w:sz w:val="20"/>
              </w:rPr>
              <w:t>Police and Crime Commissioner for Lancashire</w:t>
            </w:r>
          </w:p>
        </w:tc>
        <w:tc>
          <w:tcPr>
            <w:tcW w:w="1486" w:type="dxa"/>
            <w:tcBorders>
              <w:top w:val="nil"/>
              <w:left w:val="nil"/>
              <w:bottom w:val="single" w:sz="4" w:space="0" w:color="auto"/>
              <w:right w:val="single" w:sz="4" w:space="0" w:color="auto"/>
            </w:tcBorders>
            <w:noWrap/>
          </w:tcPr>
          <w:p w:rsidR="00167713" w:rsidRPr="001D2BD2" w:rsidRDefault="00167713" w:rsidP="002A1841">
            <w:pPr>
              <w:ind w:left="567" w:hanging="567"/>
              <w:jc w:val="right"/>
              <w:rPr>
                <w:sz w:val="20"/>
              </w:rPr>
            </w:pPr>
            <w:r w:rsidRPr="001D2BD2">
              <w:rPr>
                <w:sz w:val="20"/>
              </w:rPr>
              <w:t>£177.45</w:t>
            </w:r>
          </w:p>
        </w:tc>
        <w:tc>
          <w:tcPr>
            <w:tcW w:w="1601" w:type="dxa"/>
            <w:tcBorders>
              <w:top w:val="nil"/>
              <w:left w:val="nil"/>
              <w:bottom w:val="single" w:sz="4" w:space="0" w:color="auto"/>
              <w:right w:val="single" w:sz="4" w:space="0" w:color="auto"/>
            </w:tcBorders>
            <w:noWrap/>
            <w:vAlign w:val="center"/>
          </w:tcPr>
          <w:p w:rsidR="00167713" w:rsidRPr="00546516" w:rsidRDefault="00167713" w:rsidP="002A1841">
            <w:pPr>
              <w:ind w:left="567" w:hanging="567"/>
              <w:jc w:val="right"/>
              <w:rPr>
                <w:sz w:val="20"/>
              </w:rPr>
            </w:pPr>
            <w:r>
              <w:rPr>
                <w:sz w:val="20"/>
              </w:rPr>
              <w:t>£201.45</w:t>
            </w:r>
          </w:p>
        </w:tc>
        <w:tc>
          <w:tcPr>
            <w:tcW w:w="2112" w:type="dxa"/>
            <w:tcBorders>
              <w:top w:val="nil"/>
              <w:left w:val="nil"/>
              <w:bottom w:val="single" w:sz="4" w:space="0" w:color="auto"/>
              <w:right w:val="single" w:sz="8" w:space="0" w:color="auto"/>
            </w:tcBorders>
            <w:noWrap/>
            <w:vAlign w:val="center"/>
          </w:tcPr>
          <w:p w:rsidR="00167713" w:rsidRPr="00546516" w:rsidRDefault="00167713" w:rsidP="002A1841">
            <w:pPr>
              <w:ind w:left="567" w:hanging="567"/>
              <w:jc w:val="center"/>
              <w:rPr>
                <w:sz w:val="20"/>
              </w:rPr>
            </w:pPr>
            <w:r>
              <w:rPr>
                <w:sz w:val="20"/>
              </w:rPr>
              <w:t>13</w:t>
            </w:r>
            <w:r w:rsidRPr="00546516">
              <w:rPr>
                <w:sz w:val="20"/>
              </w:rPr>
              <w:t>.</w:t>
            </w:r>
            <w:r>
              <w:rPr>
                <w:sz w:val="20"/>
              </w:rPr>
              <w:t>53</w:t>
            </w:r>
            <w:r w:rsidRPr="00546516">
              <w:rPr>
                <w:sz w:val="20"/>
              </w:rPr>
              <w:t>%</w:t>
            </w:r>
          </w:p>
        </w:tc>
      </w:tr>
      <w:tr w:rsidR="00167713" w:rsidRPr="00EE1C89" w:rsidTr="00277F4B">
        <w:trPr>
          <w:trHeight w:val="256"/>
        </w:trPr>
        <w:tc>
          <w:tcPr>
            <w:tcW w:w="4597" w:type="dxa"/>
            <w:tcBorders>
              <w:top w:val="single" w:sz="4" w:space="0" w:color="auto"/>
              <w:left w:val="single" w:sz="8" w:space="0" w:color="auto"/>
              <w:bottom w:val="nil"/>
              <w:right w:val="single" w:sz="8" w:space="0" w:color="000000"/>
            </w:tcBorders>
            <w:noWrap/>
            <w:vAlign w:val="center"/>
          </w:tcPr>
          <w:p w:rsidR="00167713" w:rsidRPr="00EE1C89" w:rsidRDefault="00167713" w:rsidP="002A1841">
            <w:pPr>
              <w:ind w:left="567" w:hanging="567"/>
              <w:rPr>
                <w:sz w:val="20"/>
              </w:rPr>
            </w:pPr>
            <w:r w:rsidRPr="00EE1C89">
              <w:rPr>
                <w:sz w:val="20"/>
              </w:rPr>
              <w:t xml:space="preserve">Lancashire Combined Fire </w:t>
            </w:r>
            <w:r>
              <w:rPr>
                <w:sz w:val="20"/>
              </w:rPr>
              <w:t xml:space="preserve">and Rescue </w:t>
            </w:r>
            <w:r w:rsidRPr="00EE1C89">
              <w:rPr>
                <w:sz w:val="20"/>
              </w:rPr>
              <w:t>Authority</w:t>
            </w:r>
          </w:p>
        </w:tc>
        <w:tc>
          <w:tcPr>
            <w:tcW w:w="1486" w:type="dxa"/>
            <w:tcBorders>
              <w:top w:val="nil"/>
              <w:left w:val="nil"/>
              <w:bottom w:val="nil"/>
              <w:right w:val="single" w:sz="4" w:space="0" w:color="auto"/>
            </w:tcBorders>
            <w:noWrap/>
          </w:tcPr>
          <w:p w:rsidR="00167713" w:rsidRPr="001D2BD2" w:rsidRDefault="00167713" w:rsidP="002A1841">
            <w:pPr>
              <w:ind w:left="567" w:hanging="567"/>
              <w:jc w:val="right"/>
              <w:rPr>
                <w:sz w:val="20"/>
              </w:rPr>
            </w:pPr>
            <w:r w:rsidRPr="001D2BD2">
              <w:rPr>
                <w:sz w:val="20"/>
              </w:rPr>
              <w:t>£67.46</w:t>
            </w:r>
          </w:p>
        </w:tc>
        <w:tc>
          <w:tcPr>
            <w:tcW w:w="1601" w:type="dxa"/>
            <w:tcBorders>
              <w:top w:val="nil"/>
              <w:left w:val="nil"/>
              <w:bottom w:val="nil"/>
              <w:right w:val="single" w:sz="4" w:space="0" w:color="auto"/>
            </w:tcBorders>
            <w:noWrap/>
            <w:vAlign w:val="center"/>
          </w:tcPr>
          <w:p w:rsidR="00167713" w:rsidRPr="00546516" w:rsidRDefault="00167713" w:rsidP="002A1841">
            <w:pPr>
              <w:ind w:left="567" w:hanging="567"/>
              <w:jc w:val="right"/>
              <w:rPr>
                <w:sz w:val="20"/>
              </w:rPr>
            </w:pPr>
            <w:r>
              <w:rPr>
                <w:sz w:val="20"/>
              </w:rPr>
              <w:t>£69.48</w:t>
            </w:r>
          </w:p>
        </w:tc>
        <w:tc>
          <w:tcPr>
            <w:tcW w:w="2112" w:type="dxa"/>
            <w:tcBorders>
              <w:top w:val="nil"/>
              <w:left w:val="nil"/>
              <w:bottom w:val="nil"/>
              <w:right w:val="single" w:sz="8" w:space="0" w:color="auto"/>
            </w:tcBorders>
            <w:noWrap/>
            <w:vAlign w:val="center"/>
          </w:tcPr>
          <w:p w:rsidR="00167713" w:rsidRPr="00546516" w:rsidRDefault="00167713" w:rsidP="002A1841">
            <w:pPr>
              <w:ind w:left="567" w:hanging="567"/>
              <w:jc w:val="center"/>
              <w:rPr>
                <w:sz w:val="20"/>
              </w:rPr>
            </w:pPr>
            <w:r w:rsidRPr="00546516">
              <w:rPr>
                <w:sz w:val="20"/>
              </w:rPr>
              <w:t>2.99%</w:t>
            </w:r>
          </w:p>
        </w:tc>
      </w:tr>
      <w:tr w:rsidR="00167713" w:rsidRPr="00FB5A58" w:rsidTr="00277F4B">
        <w:trPr>
          <w:trHeight w:val="256"/>
        </w:trPr>
        <w:tc>
          <w:tcPr>
            <w:tcW w:w="4597" w:type="dxa"/>
            <w:tcBorders>
              <w:top w:val="single" w:sz="8" w:space="0" w:color="auto"/>
              <w:left w:val="single" w:sz="8" w:space="0" w:color="auto"/>
              <w:bottom w:val="single" w:sz="8" w:space="0" w:color="auto"/>
              <w:right w:val="single" w:sz="8" w:space="0" w:color="000000"/>
            </w:tcBorders>
            <w:noWrap/>
            <w:vAlign w:val="center"/>
          </w:tcPr>
          <w:p w:rsidR="00167713" w:rsidRPr="00FB5A58" w:rsidRDefault="00167713" w:rsidP="002A1841">
            <w:pPr>
              <w:ind w:left="567" w:hanging="567"/>
              <w:rPr>
                <w:b/>
                <w:bCs/>
                <w:sz w:val="20"/>
              </w:rPr>
            </w:pPr>
            <w:r w:rsidRPr="00FB5A58">
              <w:rPr>
                <w:b/>
                <w:bCs/>
                <w:sz w:val="20"/>
              </w:rPr>
              <w:t>Sub Total</w:t>
            </w:r>
          </w:p>
        </w:tc>
        <w:tc>
          <w:tcPr>
            <w:tcW w:w="1486" w:type="dxa"/>
            <w:tcBorders>
              <w:top w:val="single" w:sz="8" w:space="0" w:color="auto"/>
              <w:left w:val="nil"/>
              <w:bottom w:val="single" w:sz="8" w:space="0" w:color="auto"/>
              <w:right w:val="single" w:sz="4" w:space="0" w:color="auto"/>
            </w:tcBorders>
            <w:noWrap/>
          </w:tcPr>
          <w:p w:rsidR="00167713" w:rsidRPr="00473995" w:rsidRDefault="00167713" w:rsidP="002A1841">
            <w:pPr>
              <w:ind w:left="567" w:hanging="567"/>
              <w:jc w:val="right"/>
              <w:rPr>
                <w:b/>
                <w:sz w:val="20"/>
              </w:rPr>
            </w:pPr>
            <w:r w:rsidRPr="00473995">
              <w:rPr>
                <w:b/>
                <w:sz w:val="20"/>
              </w:rPr>
              <w:t>£1,754.44</w:t>
            </w:r>
          </w:p>
        </w:tc>
        <w:tc>
          <w:tcPr>
            <w:tcW w:w="1601" w:type="dxa"/>
            <w:tcBorders>
              <w:top w:val="single" w:sz="8" w:space="0" w:color="auto"/>
              <w:left w:val="nil"/>
              <w:bottom w:val="single" w:sz="8" w:space="0" w:color="auto"/>
              <w:right w:val="single" w:sz="4" w:space="0" w:color="auto"/>
            </w:tcBorders>
            <w:noWrap/>
            <w:vAlign w:val="center"/>
          </w:tcPr>
          <w:p w:rsidR="00167713" w:rsidRPr="00546516" w:rsidRDefault="00167713" w:rsidP="002A1841">
            <w:pPr>
              <w:ind w:left="567" w:hanging="567"/>
              <w:jc w:val="right"/>
              <w:rPr>
                <w:b/>
                <w:bCs/>
                <w:sz w:val="20"/>
              </w:rPr>
            </w:pPr>
            <w:r>
              <w:rPr>
                <w:b/>
                <w:bCs/>
                <w:sz w:val="20"/>
              </w:rPr>
              <w:t>£1,836.40</w:t>
            </w:r>
          </w:p>
        </w:tc>
        <w:tc>
          <w:tcPr>
            <w:tcW w:w="2112" w:type="dxa"/>
            <w:tcBorders>
              <w:top w:val="single" w:sz="8" w:space="0" w:color="auto"/>
              <w:left w:val="nil"/>
              <w:bottom w:val="single" w:sz="8" w:space="0" w:color="auto"/>
              <w:right w:val="single" w:sz="8" w:space="0" w:color="auto"/>
            </w:tcBorders>
            <w:noWrap/>
            <w:vAlign w:val="center"/>
          </w:tcPr>
          <w:p w:rsidR="00167713" w:rsidRPr="00546516" w:rsidRDefault="00167713" w:rsidP="002A1841">
            <w:pPr>
              <w:ind w:left="567" w:hanging="567"/>
              <w:jc w:val="center"/>
              <w:rPr>
                <w:b/>
                <w:bCs/>
                <w:sz w:val="20"/>
              </w:rPr>
            </w:pPr>
            <w:r w:rsidRPr="00E05463">
              <w:rPr>
                <w:b/>
                <w:bCs/>
                <w:sz w:val="20"/>
              </w:rPr>
              <w:t>4.67%</w:t>
            </w:r>
          </w:p>
        </w:tc>
      </w:tr>
      <w:tr w:rsidR="00167713" w:rsidRPr="00EE1C89" w:rsidTr="00277F4B">
        <w:trPr>
          <w:trHeight w:val="256"/>
        </w:trPr>
        <w:tc>
          <w:tcPr>
            <w:tcW w:w="4597" w:type="dxa"/>
            <w:tcBorders>
              <w:top w:val="nil"/>
              <w:left w:val="single" w:sz="8" w:space="0" w:color="auto"/>
              <w:bottom w:val="nil"/>
              <w:right w:val="single" w:sz="8" w:space="0" w:color="000000"/>
            </w:tcBorders>
            <w:noWrap/>
            <w:vAlign w:val="center"/>
          </w:tcPr>
          <w:p w:rsidR="00167713" w:rsidRPr="00EE1C89" w:rsidRDefault="00167713" w:rsidP="002A1841">
            <w:pPr>
              <w:ind w:left="567" w:hanging="567"/>
              <w:rPr>
                <w:sz w:val="20"/>
              </w:rPr>
            </w:pPr>
            <w:r w:rsidRPr="00EE1C89">
              <w:rPr>
                <w:sz w:val="20"/>
              </w:rPr>
              <w:t>Town &amp; Parish Council Average</w:t>
            </w:r>
          </w:p>
        </w:tc>
        <w:tc>
          <w:tcPr>
            <w:tcW w:w="1486" w:type="dxa"/>
            <w:tcBorders>
              <w:top w:val="nil"/>
              <w:left w:val="nil"/>
              <w:bottom w:val="nil"/>
              <w:right w:val="single" w:sz="4" w:space="0" w:color="auto"/>
            </w:tcBorders>
            <w:noWrap/>
          </w:tcPr>
          <w:p w:rsidR="00167713" w:rsidRPr="001D2BD2" w:rsidRDefault="00167713" w:rsidP="002A1841">
            <w:pPr>
              <w:ind w:left="567" w:hanging="567"/>
              <w:jc w:val="right"/>
              <w:rPr>
                <w:sz w:val="20"/>
              </w:rPr>
            </w:pPr>
            <w:r w:rsidRPr="001D2BD2">
              <w:rPr>
                <w:sz w:val="20"/>
              </w:rPr>
              <w:t>£10.27</w:t>
            </w:r>
          </w:p>
        </w:tc>
        <w:tc>
          <w:tcPr>
            <w:tcW w:w="1601" w:type="dxa"/>
            <w:tcBorders>
              <w:top w:val="nil"/>
              <w:left w:val="nil"/>
              <w:bottom w:val="nil"/>
              <w:right w:val="single" w:sz="4" w:space="0" w:color="auto"/>
            </w:tcBorders>
            <w:noWrap/>
            <w:vAlign w:val="center"/>
          </w:tcPr>
          <w:p w:rsidR="00167713" w:rsidRPr="00546516" w:rsidRDefault="00167713" w:rsidP="002A1841">
            <w:pPr>
              <w:ind w:left="567" w:hanging="567"/>
              <w:jc w:val="right"/>
              <w:rPr>
                <w:sz w:val="20"/>
              </w:rPr>
            </w:pPr>
            <w:r>
              <w:rPr>
                <w:sz w:val="20"/>
              </w:rPr>
              <w:t>£11.10</w:t>
            </w:r>
          </w:p>
        </w:tc>
        <w:tc>
          <w:tcPr>
            <w:tcW w:w="2112" w:type="dxa"/>
            <w:tcBorders>
              <w:top w:val="nil"/>
              <w:left w:val="nil"/>
              <w:bottom w:val="nil"/>
              <w:right w:val="single" w:sz="8" w:space="0" w:color="auto"/>
            </w:tcBorders>
            <w:noWrap/>
            <w:vAlign w:val="center"/>
          </w:tcPr>
          <w:p w:rsidR="00167713" w:rsidRPr="00546516" w:rsidRDefault="00167713" w:rsidP="002A1841">
            <w:pPr>
              <w:ind w:left="567" w:hanging="567"/>
              <w:jc w:val="center"/>
              <w:rPr>
                <w:sz w:val="20"/>
              </w:rPr>
            </w:pPr>
            <w:r w:rsidRPr="00546516">
              <w:rPr>
                <w:sz w:val="20"/>
              </w:rPr>
              <w:t>8.</w:t>
            </w:r>
            <w:r>
              <w:rPr>
                <w:sz w:val="20"/>
              </w:rPr>
              <w:t>1</w:t>
            </w:r>
            <w:r w:rsidRPr="00546516">
              <w:rPr>
                <w:sz w:val="20"/>
              </w:rPr>
              <w:t>0%</w:t>
            </w:r>
          </w:p>
        </w:tc>
      </w:tr>
      <w:tr w:rsidR="00167713" w:rsidRPr="00257E26" w:rsidTr="00277F4B">
        <w:trPr>
          <w:trHeight w:val="256"/>
        </w:trPr>
        <w:tc>
          <w:tcPr>
            <w:tcW w:w="4597" w:type="dxa"/>
            <w:tcBorders>
              <w:top w:val="single" w:sz="8" w:space="0" w:color="auto"/>
              <w:left w:val="single" w:sz="8" w:space="0" w:color="auto"/>
              <w:bottom w:val="single" w:sz="8" w:space="0" w:color="auto"/>
              <w:right w:val="single" w:sz="8" w:space="0" w:color="000000"/>
            </w:tcBorders>
            <w:noWrap/>
            <w:vAlign w:val="center"/>
          </w:tcPr>
          <w:p w:rsidR="00167713" w:rsidRPr="00257E26" w:rsidRDefault="00167713" w:rsidP="002A1841">
            <w:pPr>
              <w:ind w:left="567" w:hanging="567"/>
              <w:rPr>
                <w:b/>
                <w:bCs/>
                <w:sz w:val="20"/>
              </w:rPr>
            </w:pPr>
            <w:r w:rsidRPr="00257E26">
              <w:rPr>
                <w:b/>
                <w:bCs/>
                <w:sz w:val="20"/>
              </w:rPr>
              <w:t>Total</w:t>
            </w:r>
          </w:p>
        </w:tc>
        <w:tc>
          <w:tcPr>
            <w:tcW w:w="1486" w:type="dxa"/>
            <w:tcBorders>
              <w:top w:val="single" w:sz="8" w:space="0" w:color="auto"/>
              <w:left w:val="nil"/>
              <w:bottom w:val="single" w:sz="8" w:space="0" w:color="auto"/>
              <w:right w:val="single" w:sz="4" w:space="0" w:color="auto"/>
            </w:tcBorders>
            <w:noWrap/>
          </w:tcPr>
          <w:p w:rsidR="00167713" w:rsidRPr="00B47029" w:rsidRDefault="00167713" w:rsidP="002A1841">
            <w:pPr>
              <w:ind w:left="567" w:hanging="567"/>
              <w:jc w:val="right"/>
              <w:rPr>
                <w:b/>
                <w:sz w:val="20"/>
              </w:rPr>
            </w:pPr>
            <w:r w:rsidRPr="00B47029">
              <w:rPr>
                <w:b/>
                <w:sz w:val="20"/>
              </w:rPr>
              <w:t>£1,764.71</w:t>
            </w:r>
          </w:p>
        </w:tc>
        <w:tc>
          <w:tcPr>
            <w:tcW w:w="1601" w:type="dxa"/>
            <w:tcBorders>
              <w:top w:val="single" w:sz="8" w:space="0" w:color="auto"/>
              <w:left w:val="nil"/>
              <w:bottom w:val="single" w:sz="8" w:space="0" w:color="auto"/>
              <w:right w:val="single" w:sz="4" w:space="0" w:color="auto"/>
            </w:tcBorders>
            <w:noWrap/>
            <w:vAlign w:val="center"/>
          </w:tcPr>
          <w:p w:rsidR="00167713" w:rsidRPr="00546516" w:rsidRDefault="00167713" w:rsidP="002A1841">
            <w:pPr>
              <w:ind w:left="567" w:hanging="567"/>
              <w:jc w:val="right"/>
              <w:rPr>
                <w:b/>
                <w:bCs/>
                <w:sz w:val="20"/>
              </w:rPr>
            </w:pPr>
            <w:r>
              <w:rPr>
                <w:b/>
                <w:bCs/>
                <w:sz w:val="20"/>
              </w:rPr>
              <w:t>£1,847.50</w:t>
            </w:r>
          </w:p>
        </w:tc>
        <w:tc>
          <w:tcPr>
            <w:tcW w:w="2112" w:type="dxa"/>
            <w:tcBorders>
              <w:top w:val="single" w:sz="8" w:space="0" w:color="auto"/>
              <w:left w:val="nil"/>
              <w:bottom w:val="single" w:sz="8" w:space="0" w:color="auto"/>
              <w:right w:val="single" w:sz="8" w:space="0" w:color="auto"/>
            </w:tcBorders>
            <w:noWrap/>
            <w:vAlign w:val="center"/>
          </w:tcPr>
          <w:p w:rsidR="00167713" w:rsidRPr="00546516" w:rsidRDefault="00167713" w:rsidP="002A1841">
            <w:pPr>
              <w:ind w:left="567" w:hanging="567"/>
              <w:jc w:val="center"/>
              <w:rPr>
                <w:b/>
                <w:bCs/>
                <w:sz w:val="20"/>
              </w:rPr>
            </w:pPr>
            <w:r w:rsidRPr="00E05463">
              <w:rPr>
                <w:b/>
                <w:bCs/>
                <w:sz w:val="20"/>
              </w:rPr>
              <w:t>4.69%</w:t>
            </w:r>
          </w:p>
        </w:tc>
      </w:tr>
    </w:tbl>
    <w:p w:rsidR="00CC4337" w:rsidRPr="00286F4C" w:rsidRDefault="00CC4337" w:rsidP="002A1841">
      <w:pPr>
        <w:ind w:left="567" w:hanging="567"/>
        <w:rPr>
          <w:i/>
          <w:szCs w:val="22"/>
        </w:rPr>
      </w:pPr>
    </w:p>
    <w:p w:rsidR="002F5C5E" w:rsidRPr="00286F4C" w:rsidRDefault="002F5C5E" w:rsidP="002F5C5E">
      <w:pPr>
        <w:rPr>
          <w:szCs w:val="22"/>
        </w:rPr>
      </w:pPr>
    </w:p>
    <w:p w:rsidR="008C04DA" w:rsidRPr="00286F4C" w:rsidRDefault="008C04DA" w:rsidP="00167713">
      <w:pPr>
        <w:numPr>
          <w:ilvl w:val="0"/>
          <w:numId w:val="8"/>
        </w:numPr>
        <w:ind w:left="567" w:hanging="567"/>
        <w:rPr>
          <w:b/>
          <w:szCs w:val="22"/>
        </w:rPr>
      </w:pPr>
      <w:r w:rsidRPr="00286F4C">
        <w:rPr>
          <w:b/>
          <w:szCs w:val="22"/>
        </w:rPr>
        <w:t>CORPORATE PRIORITIES</w:t>
      </w:r>
    </w:p>
    <w:p w:rsidR="00911FD5" w:rsidRPr="00286F4C" w:rsidRDefault="00911FD5" w:rsidP="00286F4C">
      <w:pPr>
        <w:keepNext/>
        <w:outlineLvl w:val="0"/>
        <w:rPr>
          <w:b/>
          <w:szCs w:val="22"/>
        </w:rPr>
      </w:pPr>
    </w:p>
    <w:p w:rsidR="008C04DA" w:rsidRPr="00286F4C" w:rsidRDefault="00167713" w:rsidP="00526FCA">
      <w:pPr>
        <w:keepNext/>
        <w:ind w:left="567" w:hanging="567"/>
        <w:outlineLvl w:val="0"/>
        <w:rPr>
          <w:i/>
          <w:szCs w:val="22"/>
        </w:rPr>
      </w:pPr>
      <w:r>
        <w:rPr>
          <w:szCs w:val="22"/>
        </w:rPr>
        <w:t>4</w:t>
      </w:r>
      <w:r w:rsidR="00911FD5" w:rsidRPr="00286F4C">
        <w:rPr>
          <w:szCs w:val="22"/>
        </w:rPr>
        <w:t>.1</w:t>
      </w:r>
      <w:r w:rsidR="00911FD5" w:rsidRPr="00286F4C">
        <w:rPr>
          <w:szCs w:val="22"/>
        </w:rPr>
        <w:tab/>
      </w:r>
      <w:r w:rsidR="008C04DA" w:rsidRPr="00286F4C">
        <w:rPr>
          <w:szCs w:val="22"/>
        </w:rPr>
        <w:t>The report relates to the following corporate priorities</w:t>
      </w:r>
      <w:r w:rsidR="00970C70" w:rsidRPr="00286F4C">
        <w:rPr>
          <w:szCs w:val="22"/>
        </w:rPr>
        <w:t>:</w:t>
      </w:r>
    </w:p>
    <w:p w:rsidR="008C04DA" w:rsidRPr="00286F4C"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526FCA">
            <w:pPr>
              <w:rPr>
                <w:szCs w:val="22"/>
              </w:rPr>
            </w:pPr>
            <w:r w:rsidRPr="000828CC">
              <w:rPr>
                <w:szCs w:val="22"/>
              </w:rPr>
              <w:t>Excellence and Financial Sustainability</w:t>
            </w:r>
          </w:p>
        </w:tc>
        <w:tc>
          <w:tcPr>
            <w:tcW w:w="850" w:type="dxa"/>
            <w:shd w:val="clear" w:color="auto" w:fill="auto"/>
          </w:tcPr>
          <w:p w:rsidR="000E5A3B" w:rsidRPr="007C7FD0" w:rsidRDefault="007C7FD0" w:rsidP="007C7FD0">
            <w:pPr>
              <w:jc w:val="center"/>
              <w:rPr>
                <w:szCs w:val="22"/>
              </w:rPr>
            </w:pPr>
            <w:r w:rsidRPr="007C7FD0">
              <w:rPr>
                <w:szCs w:val="22"/>
              </w:rPr>
              <w:t>X</w:t>
            </w:r>
          </w:p>
        </w:tc>
      </w:tr>
      <w:tr w:rsidR="000E5A3B" w:rsidRPr="008770BE" w:rsidTr="000E5A3B">
        <w:tc>
          <w:tcPr>
            <w:tcW w:w="4423" w:type="dxa"/>
            <w:shd w:val="clear" w:color="auto" w:fill="auto"/>
          </w:tcPr>
          <w:p w:rsidR="000E5A3B" w:rsidRPr="000828CC" w:rsidRDefault="000E5A3B" w:rsidP="00526FCA">
            <w:pPr>
              <w:rPr>
                <w:szCs w:val="22"/>
              </w:rPr>
            </w:pPr>
            <w:r w:rsidRPr="000828CC">
              <w:rPr>
                <w:szCs w:val="22"/>
              </w:rPr>
              <w:t>Health and Wellbeing</w:t>
            </w:r>
          </w:p>
        </w:tc>
        <w:tc>
          <w:tcPr>
            <w:tcW w:w="850" w:type="dxa"/>
            <w:shd w:val="clear" w:color="auto" w:fill="auto"/>
          </w:tcPr>
          <w:p w:rsidR="000E5A3B" w:rsidRPr="007C7FD0" w:rsidRDefault="007C7FD0" w:rsidP="007C7FD0">
            <w:pPr>
              <w:jc w:val="center"/>
              <w:rPr>
                <w:szCs w:val="22"/>
              </w:rPr>
            </w:pPr>
            <w:r w:rsidRPr="007C7FD0">
              <w:rPr>
                <w:szCs w:val="22"/>
              </w:rPr>
              <w:t>X</w:t>
            </w:r>
          </w:p>
        </w:tc>
      </w:tr>
      <w:tr w:rsidR="000E5A3B" w:rsidRPr="009C1143" w:rsidTr="000E5A3B">
        <w:tc>
          <w:tcPr>
            <w:tcW w:w="4423" w:type="dxa"/>
            <w:shd w:val="clear" w:color="auto" w:fill="auto"/>
          </w:tcPr>
          <w:p w:rsidR="000E5A3B" w:rsidRPr="000828CC" w:rsidRDefault="000E5A3B" w:rsidP="00526FCA">
            <w:pPr>
              <w:rPr>
                <w:szCs w:val="22"/>
              </w:rPr>
            </w:pPr>
            <w:r w:rsidRPr="000828CC">
              <w:rPr>
                <w:szCs w:val="22"/>
              </w:rPr>
              <w:t>Place</w:t>
            </w:r>
          </w:p>
        </w:tc>
        <w:tc>
          <w:tcPr>
            <w:tcW w:w="850" w:type="dxa"/>
            <w:shd w:val="clear" w:color="auto" w:fill="auto"/>
          </w:tcPr>
          <w:p w:rsidR="000E5A3B" w:rsidRPr="009C1143" w:rsidRDefault="007C7FD0" w:rsidP="007C7FD0">
            <w:pPr>
              <w:jc w:val="center"/>
              <w:rPr>
                <w:szCs w:val="22"/>
              </w:rPr>
            </w:pPr>
            <w:r>
              <w:rPr>
                <w:szCs w:val="22"/>
              </w:rPr>
              <w:t>X</w:t>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Pr="000828CC" w:rsidRDefault="002D4745" w:rsidP="00526FCA">
            <w:pPr>
              <w:rPr>
                <w:szCs w:val="22"/>
              </w:rPr>
            </w:pPr>
            <w:r>
              <w:rPr>
                <w:szCs w:val="22"/>
              </w:rPr>
              <w:t xml:space="preserve">People </w:t>
            </w:r>
          </w:p>
        </w:tc>
        <w:tc>
          <w:tcPr>
            <w:tcW w:w="850" w:type="dxa"/>
            <w:shd w:val="clear" w:color="auto" w:fill="auto"/>
          </w:tcPr>
          <w:p w:rsidR="002D4745" w:rsidRPr="009C1143" w:rsidRDefault="00167713" w:rsidP="00526FCA">
            <w:pPr>
              <w:jc w:val="center"/>
              <w:rPr>
                <w:szCs w:val="22"/>
              </w:rPr>
            </w:pPr>
            <w:r>
              <w:rPr>
                <w:szCs w:val="22"/>
              </w:rPr>
              <w:t>X</w:t>
            </w: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286F4C">
      <w:pPr>
        <w:keepNext/>
        <w:outlineLvl w:val="0"/>
        <w:rPr>
          <w:b/>
          <w:szCs w:val="22"/>
        </w:rPr>
      </w:pPr>
    </w:p>
    <w:p w:rsidR="008C04DA" w:rsidRPr="00526FCA" w:rsidRDefault="007E7F34" w:rsidP="002A1841">
      <w:pPr>
        <w:keepNext/>
        <w:numPr>
          <w:ilvl w:val="1"/>
          <w:numId w:val="8"/>
        </w:numPr>
        <w:ind w:left="567" w:hanging="567"/>
        <w:jc w:val="both"/>
        <w:outlineLvl w:val="0"/>
        <w:rPr>
          <w:szCs w:val="22"/>
        </w:rPr>
      </w:pPr>
      <w:r>
        <w:t xml:space="preserve">This report is presented to allow determination of the Council Tax requirement and Council Tax for South Ribble Borough </w:t>
      </w:r>
      <w:r w:rsidRPr="00526FCA">
        <w:t>Council for 2019/20. The</w:t>
      </w:r>
      <w:r>
        <w:t xml:space="preserve"> Council Tax provides the financial resources to help pay for all of the Council’s services. It is fundamental in supporting the delivery of all our corporate priorities.</w:t>
      </w:r>
    </w:p>
    <w:p w:rsidR="008C04DA" w:rsidRPr="008C04DA" w:rsidRDefault="008C04DA" w:rsidP="002A1841">
      <w:pPr>
        <w:keepNext/>
        <w:jc w:val="both"/>
        <w:outlineLvl w:val="0"/>
        <w:rPr>
          <w:szCs w:val="22"/>
        </w:rPr>
      </w:pPr>
    </w:p>
    <w:p w:rsidR="008C04DA" w:rsidRDefault="0037228A" w:rsidP="002A1841">
      <w:pPr>
        <w:keepNext/>
        <w:numPr>
          <w:ilvl w:val="0"/>
          <w:numId w:val="8"/>
        </w:numPr>
        <w:ind w:left="567" w:hanging="567"/>
        <w:jc w:val="both"/>
        <w:outlineLvl w:val="0"/>
        <w:rPr>
          <w:b/>
          <w:szCs w:val="22"/>
        </w:rPr>
      </w:pPr>
      <w:r w:rsidRPr="008C04DA">
        <w:rPr>
          <w:b/>
          <w:szCs w:val="22"/>
        </w:rPr>
        <w:t>PROPOSALS</w:t>
      </w:r>
    </w:p>
    <w:p w:rsidR="00EF3B6C" w:rsidRDefault="00EF3B6C" w:rsidP="002A1841">
      <w:pPr>
        <w:keepNext/>
        <w:jc w:val="both"/>
        <w:outlineLvl w:val="0"/>
        <w:rPr>
          <w:b/>
          <w:szCs w:val="22"/>
        </w:rPr>
      </w:pPr>
    </w:p>
    <w:p w:rsidR="00EF3B6C" w:rsidRPr="00E83BFE" w:rsidRDefault="00E83BFE" w:rsidP="002A1841">
      <w:pPr>
        <w:keepNext/>
        <w:numPr>
          <w:ilvl w:val="1"/>
          <w:numId w:val="8"/>
        </w:numPr>
        <w:ind w:left="567" w:hanging="567"/>
        <w:jc w:val="both"/>
        <w:outlineLvl w:val="0"/>
        <w:rPr>
          <w:szCs w:val="22"/>
        </w:rPr>
      </w:pPr>
      <w:r>
        <w:rPr>
          <w:szCs w:val="22"/>
        </w:rPr>
        <w:t xml:space="preserve">See Appendix A for </w:t>
      </w:r>
      <w:r w:rsidR="002A1841">
        <w:rPr>
          <w:szCs w:val="22"/>
        </w:rPr>
        <w:t xml:space="preserve">the full </w:t>
      </w:r>
      <w:r>
        <w:rPr>
          <w:szCs w:val="22"/>
        </w:rPr>
        <w:t xml:space="preserve">list </w:t>
      </w:r>
      <w:r w:rsidR="002A1841">
        <w:rPr>
          <w:szCs w:val="22"/>
        </w:rPr>
        <w:t xml:space="preserve">and breakdown </w:t>
      </w:r>
      <w:r>
        <w:rPr>
          <w:szCs w:val="22"/>
        </w:rPr>
        <w:t>of proposals</w:t>
      </w:r>
      <w:r w:rsidR="002A1841">
        <w:rPr>
          <w:szCs w:val="22"/>
        </w:rPr>
        <w:t>.</w:t>
      </w:r>
    </w:p>
    <w:p w:rsidR="008C04DA" w:rsidRPr="000828CC" w:rsidRDefault="008C04DA" w:rsidP="002A1841">
      <w:pPr>
        <w:jc w:val="both"/>
        <w:rPr>
          <w:rFonts w:cs="Arial"/>
          <w:b/>
        </w:rPr>
      </w:pPr>
    </w:p>
    <w:p w:rsidR="001A24F9" w:rsidRPr="000828CC" w:rsidRDefault="001A24F9" w:rsidP="002A1841">
      <w:pPr>
        <w:numPr>
          <w:ilvl w:val="0"/>
          <w:numId w:val="8"/>
        </w:numPr>
        <w:ind w:left="567" w:hanging="567"/>
        <w:jc w:val="both"/>
        <w:rPr>
          <w:rFonts w:cs="Arial"/>
          <w:b/>
          <w:caps/>
        </w:rPr>
      </w:pPr>
      <w:r w:rsidRPr="000828CC">
        <w:rPr>
          <w:rFonts w:cs="Arial"/>
          <w:b/>
          <w:caps/>
        </w:rPr>
        <w:t>Financial implications</w:t>
      </w:r>
    </w:p>
    <w:p w:rsidR="007A0801" w:rsidRPr="000828CC" w:rsidRDefault="007A0801" w:rsidP="002A1841">
      <w:pPr>
        <w:jc w:val="both"/>
        <w:rPr>
          <w:rFonts w:cs="Arial"/>
          <w:b/>
          <w:caps/>
        </w:rPr>
      </w:pPr>
    </w:p>
    <w:p w:rsidR="001A24F9" w:rsidRPr="00526FCA" w:rsidRDefault="00526FCA" w:rsidP="002A1841">
      <w:pPr>
        <w:numPr>
          <w:ilvl w:val="1"/>
          <w:numId w:val="8"/>
        </w:numPr>
        <w:ind w:left="567" w:hanging="567"/>
        <w:jc w:val="both"/>
        <w:rPr>
          <w:rFonts w:cs="Arial"/>
          <w:caps/>
        </w:rPr>
      </w:pPr>
      <w:r>
        <w:t xml:space="preserve">The draft resolution in </w:t>
      </w:r>
      <w:r w:rsidR="00912939">
        <w:t>a</w:t>
      </w:r>
      <w:r>
        <w:t xml:space="preserve">ppendix </w:t>
      </w:r>
      <w:r w:rsidR="00912939">
        <w:t xml:space="preserve">A </w:t>
      </w:r>
      <w:r>
        <w:t>to the report comprises the formal approval the Council’s Council Tax requirement for 2019/20.</w:t>
      </w:r>
    </w:p>
    <w:p w:rsidR="001A24F9" w:rsidRPr="00526FCA" w:rsidRDefault="001A24F9" w:rsidP="002A1841">
      <w:pPr>
        <w:jc w:val="both"/>
        <w:rPr>
          <w:rFonts w:cs="Arial"/>
          <w:b/>
        </w:rPr>
      </w:pPr>
    </w:p>
    <w:p w:rsidR="007A0801" w:rsidRPr="000828CC" w:rsidRDefault="007A0801" w:rsidP="002A1841">
      <w:pPr>
        <w:numPr>
          <w:ilvl w:val="0"/>
          <w:numId w:val="8"/>
        </w:numPr>
        <w:ind w:left="567" w:hanging="567"/>
        <w:jc w:val="both"/>
        <w:rPr>
          <w:rFonts w:cs="Arial"/>
          <w:b/>
          <w:caps/>
        </w:rPr>
      </w:pPr>
      <w:r w:rsidRPr="000828CC">
        <w:rPr>
          <w:rFonts w:cs="Arial"/>
          <w:b/>
          <w:caps/>
        </w:rPr>
        <w:t>LEGAL IMPLICATIONS</w:t>
      </w:r>
    </w:p>
    <w:p w:rsidR="007A0801" w:rsidRPr="000828CC" w:rsidRDefault="007A0801" w:rsidP="002A1841">
      <w:pPr>
        <w:jc w:val="both"/>
        <w:rPr>
          <w:rFonts w:cs="Arial"/>
          <w:b/>
          <w:caps/>
        </w:rPr>
      </w:pPr>
    </w:p>
    <w:p w:rsidR="00EF3B6C" w:rsidRPr="00526FCA" w:rsidRDefault="00167713" w:rsidP="002A1841">
      <w:pPr>
        <w:ind w:left="567" w:hanging="567"/>
        <w:jc w:val="both"/>
        <w:rPr>
          <w:rFonts w:cs="Arial"/>
          <w:caps/>
        </w:rPr>
      </w:pPr>
      <w:r>
        <w:rPr>
          <w:rFonts w:cs="Arial"/>
          <w:caps/>
        </w:rPr>
        <w:t>8</w:t>
      </w:r>
      <w:r w:rsidR="007A0801" w:rsidRPr="000828CC">
        <w:rPr>
          <w:rFonts w:cs="Arial"/>
          <w:caps/>
        </w:rPr>
        <w:t>.1</w:t>
      </w:r>
      <w:r w:rsidR="007A0801" w:rsidRPr="000828CC">
        <w:rPr>
          <w:rFonts w:cs="Arial"/>
          <w:caps/>
        </w:rPr>
        <w:tab/>
      </w:r>
      <w:r w:rsidR="00526FCA">
        <w:t>The Local Government Finance Act 1992 requires billing authorities to fix the council tax for a financial year by 11th March in the preceding financial year.</w:t>
      </w:r>
    </w:p>
    <w:p w:rsidR="007A0801" w:rsidRPr="007A0801" w:rsidRDefault="007A0801" w:rsidP="002A1841">
      <w:pPr>
        <w:jc w:val="both"/>
        <w:rPr>
          <w:rFonts w:cs="Arial"/>
          <w:caps/>
        </w:rPr>
      </w:pPr>
    </w:p>
    <w:p w:rsidR="001A24F9" w:rsidRDefault="001A24F9" w:rsidP="002A1841">
      <w:pPr>
        <w:numPr>
          <w:ilvl w:val="0"/>
          <w:numId w:val="8"/>
        </w:numPr>
        <w:ind w:left="567" w:hanging="567"/>
        <w:jc w:val="both"/>
        <w:rPr>
          <w:rFonts w:cs="Arial"/>
          <w:b/>
          <w:caps/>
        </w:rPr>
      </w:pPr>
      <w:r w:rsidRPr="00491976">
        <w:rPr>
          <w:rFonts w:cs="Arial"/>
          <w:b/>
          <w:caps/>
        </w:rPr>
        <w:t>Human Resources and Organisational Development implications</w:t>
      </w:r>
    </w:p>
    <w:p w:rsidR="007A0801" w:rsidRDefault="007A0801" w:rsidP="002A1841">
      <w:pPr>
        <w:jc w:val="both"/>
        <w:rPr>
          <w:rFonts w:cs="Arial"/>
          <w:b/>
          <w:caps/>
        </w:rPr>
      </w:pPr>
    </w:p>
    <w:p w:rsidR="001A24F9" w:rsidRPr="007E7F34" w:rsidRDefault="00E83BFE" w:rsidP="002A1841">
      <w:pPr>
        <w:numPr>
          <w:ilvl w:val="1"/>
          <w:numId w:val="8"/>
        </w:numPr>
        <w:ind w:left="567" w:hanging="567"/>
        <w:jc w:val="both"/>
        <w:rPr>
          <w:rFonts w:cs="Arial"/>
          <w:caps/>
        </w:rPr>
      </w:pPr>
      <w:r>
        <w:t>Failure to set the Council Tax would adversely affect any organisational development</w:t>
      </w:r>
      <w:r w:rsidR="00B9436D">
        <w:t xml:space="preserve"> through the lack of financial resource.</w:t>
      </w:r>
    </w:p>
    <w:p w:rsidR="001A24F9" w:rsidRDefault="001A24F9" w:rsidP="002A1841">
      <w:pPr>
        <w:jc w:val="both"/>
        <w:rPr>
          <w:rFonts w:cs="Arial"/>
          <w:b/>
        </w:rPr>
      </w:pPr>
    </w:p>
    <w:p w:rsidR="001A24F9" w:rsidRDefault="001A24F9" w:rsidP="002A1841">
      <w:pPr>
        <w:numPr>
          <w:ilvl w:val="0"/>
          <w:numId w:val="8"/>
        </w:numPr>
        <w:ind w:left="567" w:hanging="567"/>
        <w:jc w:val="both"/>
        <w:rPr>
          <w:rFonts w:cs="Arial"/>
          <w:b/>
          <w:caps/>
        </w:rPr>
      </w:pPr>
      <w:r w:rsidRPr="00491976">
        <w:rPr>
          <w:rFonts w:cs="Arial"/>
          <w:b/>
          <w:caps/>
        </w:rPr>
        <w:t>ICT/technology implications</w:t>
      </w:r>
    </w:p>
    <w:p w:rsidR="00911FD5" w:rsidRDefault="00911FD5" w:rsidP="002A1841">
      <w:pPr>
        <w:jc w:val="both"/>
        <w:rPr>
          <w:rFonts w:cs="Arial"/>
          <w:b/>
          <w:caps/>
        </w:rPr>
      </w:pPr>
    </w:p>
    <w:p w:rsidR="001A24F9" w:rsidRPr="00911FD5" w:rsidRDefault="00167713" w:rsidP="002A1841">
      <w:pPr>
        <w:numPr>
          <w:ilvl w:val="1"/>
          <w:numId w:val="8"/>
        </w:numPr>
        <w:ind w:left="567" w:hanging="567"/>
        <w:jc w:val="both"/>
        <w:rPr>
          <w:rFonts w:cs="Arial"/>
          <w:caps/>
        </w:rPr>
      </w:pPr>
      <w:r>
        <w:t>None</w:t>
      </w:r>
    </w:p>
    <w:p w:rsidR="001A24F9" w:rsidRDefault="001A24F9" w:rsidP="002A1841">
      <w:pPr>
        <w:jc w:val="both"/>
        <w:rPr>
          <w:rFonts w:cs="Arial"/>
          <w:b/>
        </w:rPr>
      </w:pPr>
    </w:p>
    <w:p w:rsidR="001A24F9" w:rsidRDefault="001A24F9" w:rsidP="002A1841">
      <w:pPr>
        <w:numPr>
          <w:ilvl w:val="0"/>
          <w:numId w:val="8"/>
        </w:numPr>
        <w:ind w:left="567" w:hanging="567"/>
        <w:jc w:val="both"/>
        <w:rPr>
          <w:rFonts w:cs="Arial"/>
          <w:b/>
          <w:caps/>
        </w:rPr>
      </w:pPr>
      <w:r w:rsidRPr="00491976">
        <w:rPr>
          <w:rFonts w:cs="Arial"/>
          <w:b/>
          <w:caps/>
        </w:rPr>
        <w:t>Property and Asset Management implications</w:t>
      </w:r>
    </w:p>
    <w:p w:rsidR="00911FD5" w:rsidRDefault="00911FD5" w:rsidP="002A1841">
      <w:pPr>
        <w:jc w:val="both"/>
        <w:rPr>
          <w:rFonts w:cs="Arial"/>
          <w:b/>
          <w:caps/>
        </w:rPr>
      </w:pPr>
    </w:p>
    <w:p w:rsidR="001A24F9" w:rsidRPr="007C7FD0" w:rsidRDefault="00167713" w:rsidP="00911FD5">
      <w:pPr>
        <w:numPr>
          <w:ilvl w:val="1"/>
          <w:numId w:val="8"/>
        </w:numPr>
        <w:ind w:left="567" w:hanging="567"/>
        <w:rPr>
          <w:rFonts w:cs="Arial"/>
          <w:caps/>
        </w:rPr>
      </w:pPr>
      <w:r>
        <w:t>None</w:t>
      </w:r>
    </w:p>
    <w:p w:rsidR="001A24F9" w:rsidRDefault="001A24F9" w:rsidP="007C7FD0">
      <w:pPr>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7C7FD0">
      <w:pPr>
        <w:rPr>
          <w:rFonts w:cs="Arial"/>
          <w:b/>
        </w:rPr>
      </w:pPr>
    </w:p>
    <w:p w:rsidR="001A24F9" w:rsidRPr="007C7FD0" w:rsidRDefault="00526FCA" w:rsidP="002A1841">
      <w:pPr>
        <w:numPr>
          <w:ilvl w:val="1"/>
          <w:numId w:val="8"/>
        </w:numPr>
        <w:ind w:left="567" w:hanging="567"/>
        <w:jc w:val="both"/>
        <w:rPr>
          <w:rFonts w:cs="Arial"/>
        </w:rPr>
      </w:pPr>
      <w:r w:rsidRPr="00591EC4">
        <w:t>Any failure to set the Council Tax could result in loss of income, significant administrative costs as well as reputational damage. There is a further risk that a</w:t>
      </w:r>
      <w:r>
        <w:t xml:space="preserve"> </w:t>
      </w:r>
      <w:r w:rsidRPr="00591EC4">
        <w:t>failure to set a Council Tax in a timely fashion could result in interventi</w:t>
      </w:r>
      <w:r>
        <w:t>on from the Secretary of State</w:t>
      </w:r>
    </w:p>
    <w:p w:rsidR="008770BE" w:rsidRPr="007C7FD0" w:rsidRDefault="008770BE" w:rsidP="001A24F9">
      <w:pPr>
        <w:rPr>
          <w:rFonts w:cs="Arial"/>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7C7FD0">
      <w:pPr>
        <w:rPr>
          <w:rFonts w:cs="Arial"/>
          <w:b/>
        </w:rPr>
      </w:pPr>
    </w:p>
    <w:p w:rsidR="001A24F9" w:rsidRPr="007C7FD0" w:rsidRDefault="00526FCA" w:rsidP="002A1841">
      <w:pPr>
        <w:numPr>
          <w:ilvl w:val="1"/>
          <w:numId w:val="8"/>
        </w:numPr>
        <w:ind w:left="567" w:hanging="567"/>
        <w:jc w:val="both"/>
        <w:rPr>
          <w:rFonts w:cs="Arial"/>
        </w:rPr>
      </w:pPr>
      <w:r>
        <w:t>Failure to set the Council Tax would adversely affect provision of these services to some of the most vulnerable in society.</w:t>
      </w:r>
    </w:p>
    <w:p w:rsidR="008770BE" w:rsidRPr="00BE0127" w:rsidRDefault="008770BE" w:rsidP="002A1841">
      <w:pPr>
        <w:jc w:val="both"/>
        <w:rPr>
          <w:rFonts w:cs="Arial"/>
          <w:b/>
        </w:rPr>
      </w:pPr>
    </w:p>
    <w:p w:rsidR="001A24F9" w:rsidRDefault="001A24F9" w:rsidP="002A1841">
      <w:pPr>
        <w:numPr>
          <w:ilvl w:val="0"/>
          <w:numId w:val="8"/>
        </w:numPr>
        <w:ind w:left="567" w:hanging="567"/>
        <w:jc w:val="both"/>
        <w:rPr>
          <w:rFonts w:cs="Arial"/>
          <w:b/>
        </w:rPr>
      </w:pPr>
      <w:r w:rsidRPr="000461FF">
        <w:rPr>
          <w:rFonts w:cs="Arial"/>
          <w:b/>
        </w:rPr>
        <w:t xml:space="preserve">RELEVANT DIRECTORS </w:t>
      </w:r>
      <w:r>
        <w:rPr>
          <w:rFonts w:cs="Arial"/>
          <w:b/>
        </w:rPr>
        <w:t xml:space="preserve">RECOMMENDATIONS </w:t>
      </w:r>
    </w:p>
    <w:p w:rsidR="00911FD5" w:rsidRPr="00882505" w:rsidRDefault="00911FD5" w:rsidP="002A1841">
      <w:pPr>
        <w:jc w:val="both"/>
        <w:rPr>
          <w:rFonts w:cs="Arial"/>
          <w:b/>
        </w:rPr>
      </w:pPr>
    </w:p>
    <w:p w:rsidR="001A24F9" w:rsidRPr="001F6A48" w:rsidRDefault="001F6A48" w:rsidP="002A1841">
      <w:pPr>
        <w:pStyle w:val="ListParagraph"/>
        <w:numPr>
          <w:ilvl w:val="1"/>
          <w:numId w:val="8"/>
        </w:numPr>
        <w:ind w:left="567" w:hanging="567"/>
        <w:jc w:val="both"/>
        <w:rPr>
          <w:rFonts w:ascii="Arial" w:hAnsi="Arial" w:cs="Arial"/>
        </w:rPr>
      </w:pPr>
      <w:r w:rsidRPr="001F6A48">
        <w:rPr>
          <w:rFonts w:ascii="Arial" w:hAnsi="Arial" w:cs="Arial"/>
        </w:rPr>
        <w:t xml:space="preserve">The setting of Council Tax is </w:t>
      </w:r>
      <w:r>
        <w:rPr>
          <w:rFonts w:ascii="Arial" w:hAnsi="Arial" w:cs="Arial"/>
        </w:rPr>
        <w:t xml:space="preserve">a </w:t>
      </w:r>
      <w:r w:rsidRPr="001F6A48">
        <w:rPr>
          <w:rFonts w:ascii="Arial" w:hAnsi="Arial" w:cs="Arial"/>
        </w:rPr>
        <w:t xml:space="preserve">legal requirement and funds the services provided by all the precepting bodies as well as South Ribble Borough Council.  </w:t>
      </w:r>
    </w:p>
    <w:p w:rsidR="000427E0" w:rsidRDefault="001A24F9" w:rsidP="002A1841">
      <w:pPr>
        <w:numPr>
          <w:ilvl w:val="0"/>
          <w:numId w:val="8"/>
        </w:numPr>
        <w:ind w:left="567" w:hanging="567"/>
        <w:jc w:val="both"/>
        <w:rPr>
          <w:rFonts w:cs="Arial"/>
          <w:b/>
        </w:rPr>
      </w:pPr>
      <w:r w:rsidRPr="000A68B2">
        <w:rPr>
          <w:rFonts w:cs="Arial"/>
          <w:b/>
        </w:rPr>
        <w:t>C</w:t>
      </w:r>
      <w:r>
        <w:rPr>
          <w:rFonts w:cs="Arial"/>
          <w:b/>
        </w:rPr>
        <w:t>OMMENTS OF THE STATUTORY FINANCE OFFICE</w:t>
      </w:r>
      <w:r w:rsidR="000427E0">
        <w:rPr>
          <w:rFonts w:cs="Arial"/>
          <w:b/>
        </w:rPr>
        <w:t>R</w:t>
      </w:r>
    </w:p>
    <w:p w:rsidR="008C7D0A" w:rsidRPr="008C7D0A" w:rsidRDefault="008C7D0A" w:rsidP="008C7D0A">
      <w:pPr>
        <w:jc w:val="both"/>
        <w:rPr>
          <w:rFonts w:cs="Arial"/>
        </w:rPr>
      </w:pPr>
    </w:p>
    <w:p w:rsidR="001A24F9" w:rsidRPr="007C7FD0" w:rsidRDefault="008C7D0A" w:rsidP="008C7D0A">
      <w:pPr>
        <w:ind w:left="567" w:hanging="567"/>
        <w:jc w:val="both"/>
        <w:rPr>
          <w:rFonts w:cs="Arial"/>
        </w:rPr>
      </w:pPr>
      <w:r w:rsidRPr="008C7D0A">
        <w:rPr>
          <w:rFonts w:cs="Arial"/>
        </w:rPr>
        <w:lastRenderedPageBreak/>
        <w:t>15.1</w:t>
      </w:r>
      <w:r>
        <w:rPr>
          <w:rFonts w:cs="Arial"/>
          <w:b/>
        </w:rPr>
        <w:t xml:space="preserve">  </w:t>
      </w:r>
      <w:r w:rsidR="009227C9">
        <w:rPr>
          <w:rFonts w:cs="Arial"/>
          <w:b/>
        </w:rPr>
        <w:t xml:space="preserve"> </w:t>
      </w:r>
      <w:r w:rsidR="009227C9" w:rsidRPr="009227C9">
        <w:rPr>
          <w:rFonts w:cs="Arial"/>
        </w:rPr>
        <w:t>T</w:t>
      </w:r>
      <w:r w:rsidR="00912939" w:rsidRPr="00167713">
        <w:t xml:space="preserve">he </w:t>
      </w:r>
      <w:r>
        <w:t xml:space="preserve">2019/20 </w:t>
      </w:r>
      <w:r w:rsidR="00912939" w:rsidRPr="00167713">
        <w:t xml:space="preserve">budget </w:t>
      </w:r>
      <w:r w:rsidR="00304D9F">
        <w:t>for approval</w:t>
      </w:r>
      <w:r w:rsidR="00912939">
        <w:t xml:space="preserve"> </w:t>
      </w:r>
      <w:r w:rsidR="00912939" w:rsidRPr="00167713">
        <w:t>include</w:t>
      </w:r>
      <w:r w:rsidR="00912939">
        <w:t>s</w:t>
      </w:r>
      <w:r w:rsidR="00912939" w:rsidRPr="00167713">
        <w:t xml:space="preserve"> a proposal to increase the Council Tax </w:t>
      </w:r>
      <w:r w:rsidR="00912939">
        <w:t>for South</w:t>
      </w:r>
      <w:r>
        <w:t xml:space="preserve"> </w:t>
      </w:r>
      <w:r w:rsidR="00912939">
        <w:t xml:space="preserve">Ribble </w:t>
      </w:r>
      <w:r>
        <w:t xml:space="preserve"> </w:t>
      </w:r>
      <w:r w:rsidR="00912939">
        <w:t>Borough Council by 1</w:t>
      </w:r>
      <w:r w:rsidR="00912939" w:rsidRPr="00167713">
        <w:t>.99%.</w:t>
      </w:r>
      <w:r w:rsidR="00912939">
        <w:t xml:space="preserve"> </w:t>
      </w:r>
      <w:r>
        <w:t xml:space="preserve">The Council Tax Requirement for 2019/20 is £8,230,250 (as set out in Appendix A). This is the forecast amount to be raised from Council Tax in 2019/20 and includes Parish Precepts. </w:t>
      </w:r>
    </w:p>
    <w:p w:rsidR="001A24F9" w:rsidRDefault="001A24F9" w:rsidP="002A1841">
      <w:pPr>
        <w:jc w:val="both"/>
        <w:rPr>
          <w:rFonts w:cs="Arial"/>
          <w:b/>
          <w:i/>
        </w:rPr>
      </w:pPr>
    </w:p>
    <w:p w:rsidR="00DD0553" w:rsidRDefault="00DD0553" w:rsidP="002A1841">
      <w:pPr>
        <w:jc w:val="both"/>
        <w:rPr>
          <w:rFonts w:cs="Arial"/>
          <w:b/>
          <w:i/>
        </w:rPr>
      </w:pPr>
    </w:p>
    <w:p w:rsidR="00DD0553" w:rsidRDefault="00DD0553" w:rsidP="002A1841">
      <w:pPr>
        <w:jc w:val="both"/>
        <w:rPr>
          <w:rFonts w:cs="Arial"/>
          <w:b/>
          <w:i/>
        </w:rPr>
      </w:pPr>
    </w:p>
    <w:p w:rsidR="00DD0553" w:rsidRPr="004206AE" w:rsidRDefault="00DD0553" w:rsidP="002A1841">
      <w:pPr>
        <w:jc w:val="both"/>
        <w:rPr>
          <w:rFonts w:cs="Arial"/>
          <w:b/>
          <w:i/>
        </w:rPr>
      </w:pPr>
    </w:p>
    <w:p w:rsidR="001A24F9" w:rsidRDefault="001A24F9" w:rsidP="002A1841">
      <w:pPr>
        <w:numPr>
          <w:ilvl w:val="0"/>
          <w:numId w:val="8"/>
        </w:numPr>
        <w:ind w:left="567" w:hanging="567"/>
        <w:jc w:val="both"/>
        <w:rPr>
          <w:rFonts w:cs="Arial"/>
          <w:b/>
        </w:rPr>
      </w:pPr>
      <w:r w:rsidRPr="000A68B2">
        <w:rPr>
          <w:rFonts w:cs="Arial"/>
          <w:b/>
        </w:rPr>
        <w:t>C</w:t>
      </w:r>
      <w:r>
        <w:rPr>
          <w:rFonts w:cs="Arial"/>
          <w:b/>
        </w:rPr>
        <w:t>OMMENTS OF THE MONITORING OFFICER</w:t>
      </w:r>
    </w:p>
    <w:p w:rsidR="00911FD5" w:rsidRDefault="00911FD5" w:rsidP="002A1841">
      <w:pPr>
        <w:jc w:val="both"/>
        <w:rPr>
          <w:rFonts w:cs="Arial"/>
          <w:b/>
        </w:rPr>
      </w:pPr>
    </w:p>
    <w:p w:rsidR="000427E0" w:rsidRPr="007C7FD0" w:rsidRDefault="00ED096E" w:rsidP="002A1841">
      <w:pPr>
        <w:numPr>
          <w:ilvl w:val="1"/>
          <w:numId w:val="8"/>
        </w:numPr>
        <w:ind w:left="567" w:hanging="567"/>
        <w:jc w:val="both"/>
        <w:rPr>
          <w:rFonts w:cs="Arial"/>
        </w:rPr>
      </w:pPr>
      <w:r>
        <w:rPr>
          <w:rFonts w:cs="Arial"/>
        </w:rPr>
        <w:t>Obviously it is imperative that the council sets a Council Tax – please see the Risk Management section above. Any failure in this regard could result in major adverse consequences for the council – both in terms of reputational damage as well as loss of income.</w:t>
      </w:r>
    </w:p>
    <w:p w:rsidR="000427E0" w:rsidRDefault="000427E0" w:rsidP="002A1841">
      <w:pPr>
        <w:jc w:val="both"/>
        <w:rPr>
          <w:rFonts w:cs="Arial"/>
          <w:b/>
        </w:rPr>
      </w:pPr>
    </w:p>
    <w:p w:rsidR="001A24F9" w:rsidRDefault="004C2F94" w:rsidP="002A1841">
      <w:pPr>
        <w:numPr>
          <w:ilvl w:val="0"/>
          <w:numId w:val="8"/>
        </w:numPr>
        <w:ind w:left="567" w:hanging="567"/>
        <w:jc w:val="both"/>
        <w:rPr>
          <w:rFonts w:cs="Arial"/>
          <w:b/>
        </w:rPr>
      </w:pPr>
      <w:r>
        <w:rPr>
          <w:rFonts w:cs="Arial"/>
          <w:b/>
        </w:rPr>
        <w:t>BACKGROUND DOCUMENTS</w:t>
      </w:r>
    </w:p>
    <w:p w:rsidR="007E7F34" w:rsidRDefault="007E7F34" w:rsidP="002A1841">
      <w:pPr>
        <w:jc w:val="both"/>
      </w:pPr>
    </w:p>
    <w:p w:rsidR="004C2F94" w:rsidRPr="007E7F34" w:rsidRDefault="007E7F34" w:rsidP="002A1841">
      <w:pPr>
        <w:numPr>
          <w:ilvl w:val="1"/>
          <w:numId w:val="8"/>
        </w:numPr>
        <w:ind w:left="567" w:hanging="567"/>
        <w:jc w:val="both"/>
        <w:rPr>
          <w:rFonts w:cs="Arial"/>
        </w:rPr>
      </w:pPr>
      <w:r>
        <w:t xml:space="preserve">Budget report as approved by Cabinet </w:t>
      </w:r>
      <w:r w:rsidRPr="00E83BFE">
        <w:t>on 13th February 2019</w:t>
      </w:r>
    </w:p>
    <w:p w:rsidR="007E7F34" w:rsidRPr="007E7F34" w:rsidRDefault="007E7F34" w:rsidP="002A1841">
      <w:pPr>
        <w:numPr>
          <w:ilvl w:val="1"/>
          <w:numId w:val="8"/>
        </w:numPr>
        <w:ind w:left="567" w:hanging="567"/>
        <w:jc w:val="both"/>
        <w:rPr>
          <w:rFonts w:cs="Arial"/>
        </w:rPr>
      </w:pPr>
      <w:r>
        <w:t xml:space="preserve">Localisation of Council Tax Support Scheme report as approved by </w:t>
      </w:r>
      <w:r w:rsidRPr="00366D1E">
        <w:t>C</w:t>
      </w:r>
      <w:r w:rsidR="00366D1E" w:rsidRPr="00366D1E">
        <w:t xml:space="preserve">ouncil </w:t>
      </w:r>
      <w:r w:rsidRPr="00366D1E">
        <w:t>on 6</w:t>
      </w:r>
      <w:r w:rsidRPr="00366D1E">
        <w:rPr>
          <w:vertAlign w:val="superscript"/>
        </w:rPr>
        <w:t>th</w:t>
      </w:r>
      <w:r w:rsidRPr="00366D1E">
        <w:t xml:space="preserve"> </w:t>
      </w:r>
      <w:r w:rsidR="00366D1E" w:rsidRPr="00366D1E">
        <w:t>February</w:t>
      </w:r>
      <w:r w:rsidRPr="00366D1E">
        <w:t xml:space="preserve"> 201</w:t>
      </w:r>
      <w:r w:rsidR="00366D1E" w:rsidRPr="00366D1E">
        <w:t>9</w:t>
      </w:r>
      <w:r>
        <w:t>.</w:t>
      </w:r>
    </w:p>
    <w:p w:rsidR="007E7F34" w:rsidRPr="007E7F34" w:rsidRDefault="007E7F34" w:rsidP="002A1841">
      <w:pPr>
        <w:numPr>
          <w:ilvl w:val="1"/>
          <w:numId w:val="8"/>
        </w:numPr>
        <w:ind w:left="567" w:hanging="567"/>
        <w:jc w:val="both"/>
        <w:rPr>
          <w:rFonts w:cs="Arial"/>
        </w:rPr>
      </w:pPr>
      <w:r w:rsidRPr="009B16AD">
        <w:t xml:space="preserve">Council </w:t>
      </w:r>
      <w:r w:rsidRPr="00E83BFE">
        <w:t>Tax Base 2019/20 Delegated Decision on 16</w:t>
      </w:r>
      <w:r w:rsidRPr="00E83BFE">
        <w:rPr>
          <w:vertAlign w:val="superscript"/>
        </w:rPr>
        <w:t>th</w:t>
      </w:r>
      <w:r w:rsidRPr="00E83BFE">
        <w:t xml:space="preserve"> January 2019</w:t>
      </w:r>
      <w:r>
        <w:t>.</w:t>
      </w:r>
    </w:p>
    <w:p w:rsidR="007E7F34" w:rsidRPr="007E7F34" w:rsidRDefault="007E7F34" w:rsidP="002A1841">
      <w:pPr>
        <w:numPr>
          <w:ilvl w:val="1"/>
          <w:numId w:val="8"/>
        </w:numPr>
        <w:ind w:left="567" w:hanging="567"/>
        <w:jc w:val="both"/>
        <w:rPr>
          <w:rFonts w:cs="Arial"/>
        </w:rPr>
      </w:pPr>
      <w:r>
        <w:t>South Ribble Borough Council’s Council Tax Support Scheme.</w:t>
      </w:r>
    </w:p>
    <w:p w:rsidR="007E7F34" w:rsidRPr="007E7F34" w:rsidRDefault="007E7F34" w:rsidP="002A1841">
      <w:pPr>
        <w:numPr>
          <w:ilvl w:val="1"/>
          <w:numId w:val="8"/>
        </w:numPr>
        <w:ind w:left="567" w:hanging="567"/>
        <w:jc w:val="both"/>
        <w:rPr>
          <w:rFonts w:cs="Arial"/>
        </w:rPr>
      </w:pPr>
      <w:r>
        <w:t>Precept letters/emails from:</w:t>
      </w:r>
    </w:p>
    <w:p w:rsidR="007E7F34" w:rsidRDefault="007E7F34" w:rsidP="002A1841">
      <w:pPr>
        <w:ind w:left="567"/>
        <w:jc w:val="both"/>
        <w:rPr>
          <w:rFonts w:cs="Arial"/>
        </w:rPr>
      </w:pPr>
      <w:r>
        <w:t>Lancashire County Council</w:t>
      </w:r>
      <w:r w:rsidR="00E83BFE">
        <w:t>;</w:t>
      </w:r>
    </w:p>
    <w:p w:rsidR="007E7F34" w:rsidRDefault="007E7F34" w:rsidP="002A1841">
      <w:pPr>
        <w:ind w:left="567"/>
        <w:jc w:val="both"/>
        <w:rPr>
          <w:rFonts w:cs="Arial"/>
        </w:rPr>
      </w:pPr>
      <w:r>
        <w:t>The Police and Crime Commissioner for Lancashire;</w:t>
      </w:r>
    </w:p>
    <w:p w:rsidR="007E7F34" w:rsidRDefault="007E7F34" w:rsidP="002A1841">
      <w:pPr>
        <w:ind w:left="567"/>
        <w:jc w:val="both"/>
      </w:pPr>
      <w:r>
        <w:t>Lancashire Combined Fire Authority; and</w:t>
      </w:r>
    </w:p>
    <w:p w:rsidR="007E7F34" w:rsidRDefault="007E7F34" w:rsidP="002A1841">
      <w:pPr>
        <w:ind w:left="567"/>
        <w:jc w:val="both"/>
      </w:pPr>
      <w:r>
        <w:t>Parish/Town Councils</w:t>
      </w:r>
    </w:p>
    <w:p w:rsidR="007E7F34" w:rsidRPr="00E83BFE" w:rsidRDefault="007E7F34" w:rsidP="002A1841">
      <w:pPr>
        <w:jc w:val="both"/>
        <w:rPr>
          <w:rFonts w:cs="Arial"/>
          <w:b/>
        </w:rPr>
      </w:pPr>
    </w:p>
    <w:p w:rsidR="00E83BFE" w:rsidRDefault="00E83BFE" w:rsidP="002A1841">
      <w:pPr>
        <w:numPr>
          <w:ilvl w:val="0"/>
          <w:numId w:val="8"/>
        </w:numPr>
        <w:ind w:left="567" w:hanging="567"/>
        <w:jc w:val="both"/>
        <w:rPr>
          <w:rFonts w:cs="Arial"/>
          <w:b/>
        </w:rPr>
      </w:pPr>
      <w:r>
        <w:rPr>
          <w:rFonts w:cs="Arial"/>
          <w:b/>
        </w:rPr>
        <w:t>APPENDICES</w:t>
      </w:r>
    </w:p>
    <w:p w:rsidR="00E83BFE" w:rsidRPr="000427E0" w:rsidRDefault="00E83BFE" w:rsidP="002A1841">
      <w:pPr>
        <w:jc w:val="both"/>
        <w:rPr>
          <w:rFonts w:cs="Arial"/>
          <w:b/>
        </w:rPr>
      </w:pPr>
    </w:p>
    <w:p w:rsidR="00E83BFE" w:rsidRPr="00E83BFE" w:rsidRDefault="00E83BFE" w:rsidP="002A1841">
      <w:pPr>
        <w:numPr>
          <w:ilvl w:val="1"/>
          <w:numId w:val="8"/>
        </w:numPr>
        <w:ind w:left="567" w:hanging="567"/>
        <w:jc w:val="both"/>
        <w:rPr>
          <w:rFonts w:cs="Arial"/>
        </w:rPr>
      </w:pPr>
      <w:r w:rsidRPr="007C7FD0">
        <w:t>Appendix A</w:t>
      </w:r>
      <w:r>
        <w:t xml:space="preserve"> – Council Tax </w:t>
      </w:r>
      <w:r w:rsidR="00EF3FAB">
        <w:t xml:space="preserve">Setting </w:t>
      </w:r>
      <w:r>
        <w:t>Resolution</w:t>
      </w:r>
    </w:p>
    <w:p w:rsidR="00E83BFE" w:rsidRPr="00E83BFE" w:rsidRDefault="00E83BFE" w:rsidP="002A1841">
      <w:pPr>
        <w:numPr>
          <w:ilvl w:val="1"/>
          <w:numId w:val="8"/>
        </w:numPr>
        <w:ind w:left="567" w:hanging="567"/>
        <w:jc w:val="both"/>
        <w:rPr>
          <w:rFonts w:cs="Arial"/>
        </w:rPr>
      </w:pPr>
      <w:r w:rsidRPr="007C7FD0">
        <w:t>Appendix B</w:t>
      </w:r>
      <w:r>
        <w:t xml:space="preserve"> – Council Tax </w:t>
      </w:r>
      <w:r w:rsidR="00B9436D">
        <w:t>Totals (inc. parishes)</w:t>
      </w:r>
    </w:p>
    <w:p w:rsidR="00882505" w:rsidRPr="00E83BFE" w:rsidRDefault="00E83BFE" w:rsidP="002A1841">
      <w:pPr>
        <w:numPr>
          <w:ilvl w:val="1"/>
          <w:numId w:val="8"/>
        </w:numPr>
        <w:ind w:left="567" w:hanging="567"/>
        <w:jc w:val="both"/>
        <w:rPr>
          <w:rFonts w:cs="Arial"/>
        </w:rPr>
      </w:pPr>
      <w:r>
        <w:t>Appendix C – Parish Precepts</w:t>
      </w:r>
    </w:p>
    <w:p w:rsidR="0037228A" w:rsidRDefault="0037228A" w:rsidP="002A1841">
      <w:pPr>
        <w:tabs>
          <w:tab w:val="left" w:pos="2839"/>
        </w:tabs>
        <w:jc w:val="both"/>
      </w:pPr>
    </w:p>
    <w:p w:rsidR="00B9436D" w:rsidRPr="00455F43" w:rsidRDefault="00B9436D" w:rsidP="002A1841">
      <w:pPr>
        <w:tabs>
          <w:tab w:val="left" w:pos="2839"/>
        </w:tabs>
        <w:jc w:val="both"/>
      </w:pPr>
    </w:p>
    <w:p w:rsidR="0037228A" w:rsidRPr="00455F43" w:rsidRDefault="0037228A" w:rsidP="00455F43">
      <w:pPr>
        <w:tabs>
          <w:tab w:val="left" w:pos="2839"/>
        </w:tabs>
      </w:pPr>
    </w:p>
    <w:p w:rsidR="00432BA9" w:rsidRPr="00286F4C" w:rsidRDefault="00432BA9" w:rsidP="0037228A">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409"/>
        <w:gridCol w:w="1695"/>
      </w:tblGrid>
      <w:tr w:rsidR="0037228A" w:rsidTr="00286F4C">
        <w:trPr>
          <w:trHeight w:val="301"/>
        </w:trPr>
        <w:tc>
          <w:tcPr>
            <w:tcW w:w="5416" w:type="dxa"/>
            <w:shd w:val="clear" w:color="auto" w:fill="auto"/>
          </w:tcPr>
          <w:p w:rsidR="0037228A" w:rsidRPr="00286F4C" w:rsidRDefault="0037228A" w:rsidP="0031059E">
            <w:pPr>
              <w:rPr>
                <w:rFonts w:cs="Arial"/>
                <w:b/>
              </w:rPr>
            </w:pPr>
            <w:r w:rsidRPr="00286F4C">
              <w:rPr>
                <w:rFonts w:cs="Arial"/>
                <w:b/>
              </w:rPr>
              <w:t>Report Author:</w:t>
            </w:r>
          </w:p>
        </w:tc>
        <w:tc>
          <w:tcPr>
            <w:tcW w:w="2409" w:type="dxa"/>
            <w:shd w:val="clear" w:color="auto" w:fill="auto"/>
          </w:tcPr>
          <w:p w:rsidR="0037228A" w:rsidRPr="00286F4C" w:rsidRDefault="00E66713" w:rsidP="0031059E">
            <w:pPr>
              <w:rPr>
                <w:rFonts w:cs="Arial"/>
                <w:b/>
              </w:rPr>
            </w:pPr>
            <w:r w:rsidRPr="00286F4C">
              <w:rPr>
                <w:rFonts w:cs="Arial"/>
                <w:b/>
              </w:rPr>
              <w:t>Telephone</w:t>
            </w:r>
            <w:r w:rsidR="0037228A" w:rsidRPr="00286F4C">
              <w:rPr>
                <w:rFonts w:cs="Arial"/>
                <w:b/>
              </w:rPr>
              <w:t>:</w:t>
            </w:r>
          </w:p>
        </w:tc>
        <w:tc>
          <w:tcPr>
            <w:tcW w:w="1695" w:type="dxa"/>
            <w:shd w:val="clear" w:color="auto" w:fill="auto"/>
          </w:tcPr>
          <w:p w:rsidR="0037228A" w:rsidRPr="00286F4C" w:rsidRDefault="0037228A" w:rsidP="0031059E">
            <w:pPr>
              <w:rPr>
                <w:rFonts w:cs="Arial"/>
                <w:b/>
              </w:rPr>
            </w:pPr>
            <w:r w:rsidRPr="00286F4C">
              <w:rPr>
                <w:rFonts w:cs="Arial"/>
                <w:b/>
              </w:rPr>
              <w:t>Date:</w:t>
            </w:r>
          </w:p>
        </w:tc>
      </w:tr>
      <w:tr w:rsidR="0037228A" w:rsidTr="00286F4C">
        <w:trPr>
          <w:trHeight w:val="420"/>
        </w:trPr>
        <w:tc>
          <w:tcPr>
            <w:tcW w:w="5416" w:type="dxa"/>
            <w:shd w:val="clear" w:color="auto" w:fill="auto"/>
          </w:tcPr>
          <w:p w:rsidR="0037228A" w:rsidRPr="0031059E" w:rsidRDefault="00C047D2" w:rsidP="00286F4C">
            <w:pPr>
              <w:rPr>
                <w:rFonts w:cs="Arial"/>
              </w:rPr>
            </w:pPr>
            <w:r>
              <w:rPr>
                <w:rFonts w:cs="Arial"/>
              </w:rPr>
              <w:t>Andy Bamber</w:t>
            </w:r>
          </w:p>
        </w:tc>
        <w:tc>
          <w:tcPr>
            <w:tcW w:w="2409" w:type="dxa"/>
            <w:shd w:val="clear" w:color="auto" w:fill="auto"/>
          </w:tcPr>
          <w:p w:rsidR="0037228A" w:rsidRPr="0031059E" w:rsidRDefault="00621D7D" w:rsidP="00C047D2">
            <w:pPr>
              <w:rPr>
                <w:rFonts w:cs="Arial"/>
              </w:rPr>
            </w:pPr>
            <w:r>
              <w:rPr>
                <w:rFonts w:cs="Arial"/>
              </w:rPr>
              <w:t>01772 62</w:t>
            </w:r>
            <w:r w:rsidR="00C047D2">
              <w:rPr>
                <w:rFonts w:cs="Arial"/>
              </w:rPr>
              <w:t>5346</w:t>
            </w:r>
          </w:p>
        </w:tc>
        <w:tc>
          <w:tcPr>
            <w:tcW w:w="1695" w:type="dxa"/>
            <w:shd w:val="clear" w:color="auto" w:fill="auto"/>
          </w:tcPr>
          <w:p w:rsidR="0037228A" w:rsidRPr="0031059E" w:rsidRDefault="00C047D2" w:rsidP="0031059E">
            <w:pPr>
              <w:rPr>
                <w:rFonts w:cs="Arial"/>
              </w:rPr>
            </w:pPr>
            <w:r>
              <w:rPr>
                <w:rFonts w:cs="Arial"/>
              </w:rPr>
              <w:t>19/02/2019</w:t>
            </w:r>
          </w:p>
        </w:tc>
      </w:tr>
    </w:tbl>
    <w:p w:rsidR="00455F43" w:rsidRDefault="00455F43" w:rsidP="004C2F94">
      <w:pPr>
        <w:rPr>
          <w:rFonts w:cs="Arial"/>
        </w:rPr>
      </w:pPr>
    </w:p>
    <w:p w:rsidR="00455F43" w:rsidRDefault="00455F43">
      <w:pPr>
        <w:rPr>
          <w:rFonts w:cs="Arial"/>
        </w:rPr>
      </w:pPr>
      <w:r>
        <w:rPr>
          <w:rFonts w:cs="Arial"/>
        </w:rPr>
        <w:br w:type="page"/>
      </w:r>
    </w:p>
    <w:p w:rsidR="008747BD" w:rsidRPr="008747BD" w:rsidRDefault="008747BD" w:rsidP="008747BD">
      <w:pPr>
        <w:jc w:val="right"/>
        <w:rPr>
          <w:rFonts w:cs="Arial"/>
          <w:b/>
          <w:bCs/>
          <w:szCs w:val="22"/>
        </w:rPr>
      </w:pPr>
      <w:r w:rsidRPr="008747BD">
        <w:rPr>
          <w:rFonts w:cs="Arial"/>
          <w:b/>
          <w:bCs/>
          <w:szCs w:val="22"/>
        </w:rPr>
        <w:lastRenderedPageBreak/>
        <w:t>APPENDIX A</w:t>
      </w:r>
    </w:p>
    <w:p w:rsidR="008747BD" w:rsidRPr="008747BD" w:rsidRDefault="008747BD" w:rsidP="008747BD">
      <w:pPr>
        <w:jc w:val="right"/>
        <w:rPr>
          <w:rFonts w:cs="Arial"/>
          <w:b/>
          <w:bCs/>
          <w:szCs w:val="22"/>
        </w:rPr>
      </w:pPr>
    </w:p>
    <w:p w:rsidR="008747BD" w:rsidRPr="008747BD" w:rsidRDefault="008747BD" w:rsidP="008747BD">
      <w:pPr>
        <w:jc w:val="center"/>
        <w:rPr>
          <w:rFonts w:cs="Arial"/>
          <w:b/>
          <w:bCs/>
          <w:sz w:val="24"/>
          <w:szCs w:val="24"/>
        </w:rPr>
      </w:pPr>
      <w:r w:rsidRPr="008747BD">
        <w:rPr>
          <w:rFonts w:cs="Arial"/>
          <w:b/>
          <w:bCs/>
          <w:sz w:val="24"/>
          <w:szCs w:val="24"/>
        </w:rPr>
        <w:t>THE COUNCIL IS RECOMMENDED TO RESOLVE AS FOLLOWS</w:t>
      </w:r>
    </w:p>
    <w:p w:rsidR="008747BD" w:rsidRPr="008747BD" w:rsidRDefault="008747BD" w:rsidP="008747BD">
      <w:pPr>
        <w:jc w:val="center"/>
        <w:rPr>
          <w:rFonts w:cs="Arial"/>
          <w:b/>
          <w:bCs/>
          <w:sz w:val="24"/>
          <w:szCs w:val="24"/>
        </w:rPr>
      </w:pPr>
    </w:p>
    <w:p w:rsidR="008747BD" w:rsidRPr="008747BD" w:rsidRDefault="008747BD" w:rsidP="008747BD">
      <w:pPr>
        <w:numPr>
          <w:ilvl w:val="0"/>
          <w:numId w:val="15"/>
        </w:numPr>
        <w:ind w:left="0" w:hanging="357"/>
        <w:rPr>
          <w:rFonts w:cs="Arial"/>
          <w:b/>
          <w:bCs/>
          <w:szCs w:val="22"/>
        </w:rPr>
      </w:pPr>
      <w:r w:rsidRPr="008747BD">
        <w:rPr>
          <w:rFonts w:ascii="Helvetica" w:hAnsi="Helvetica" w:cs="Helvetica"/>
          <w:szCs w:val="22"/>
          <w:lang w:eastAsia="en-US"/>
        </w:rPr>
        <w:t>That the following be approved:-</w:t>
      </w:r>
    </w:p>
    <w:p w:rsidR="008747BD" w:rsidRPr="008747BD" w:rsidRDefault="008747BD" w:rsidP="008747BD">
      <w:pPr>
        <w:autoSpaceDE w:val="0"/>
        <w:autoSpaceDN w:val="0"/>
        <w:adjustRightInd w:val="0"/>
        <w:ind w:firstLine="720"/>
        <w:rPr>
          <w:rFonts w:ascii="Helvetica" w:hAnsi="Helvetica" w:cs="Helvetica"/>
          <w:szCs w:val="22"/>
          <w:lang w:eastAsia="en-US"/>
        </w:rPr>
      </w:pPr>
    </w:p>
    <w:p w:rsidR="008747BD" w:rsidRPr="008747BD" w:rsidRDefault="008747BD" w:rsidP="008747BD">
      <w:pPr>
        <w:numPr>
          <w:ilvl w:val="0"/>
          <w:numId w:val="13"/>
        </w:numPr>
        <w:autoSpaceDE w:val="0"/>
        <w:autoSpaceDN w:val="0"/>
        <w:adjustRightInd w:val="0"/>
        <w:ind w:left="0"/>
        <w:contextualSpacing/>
        <w:rPr>
          <w:rFonts w:ascii="Helvetica" w:hAnsi="Helvetica" w:cs="Helvetica"/>
          <w:szCs w:val="22"/>
          <w:lang w:eastAsia="en-US"/>
        </w:rPr>
      </w:pPr>
      <w:r w:rsidRPr="008747BD">
        <w:rPr>
          <w:rFonts w:ascii="Helvetica" w:hAnsi="Helvetica" w:cs="Helvetica"/>
          <w:szCs w:val="22"/>
          <w:lang w:eastAsia="en-US"/>
        </w:rPr>
        <w:t>The revenue estimates for 2019/20.</w:t>
      </w:r>
    </w:p>
    <w:p w:rsidR="008747BD" w:rsidRPr="008747BD" w:rsidRDefault="008747BD" w:rsidP="008747BD">
      <w:pPr>
        <w:autoSpaceDE w:val="0"/>
        <w:autoSpaceDN w:val="0"/>
        <w:adjustRightInd w:val="0"/>
        <w:ind w:firstLine="720"/>
        <w:rPr>
          <w:rFonts w:ascii="Helvetica" w:hAnsi="Helvetica" w:cs="Helvetica"/>
          <w:szCs w:val="22"/>
          <w:lang w:eastAsia="en-US"/>
        </w:rPr>
      </w:pPr>
    </w:p>
    <w:p w:rsidR="008747BD" w:rsidRPr="008747BD" w:rsidRDefault="008747BD" w:rsidP="008747BD">
      <w:pPr>
        <w:numPr>
          <w:ilvl w:val="0"/>
          <w:numId w:val="13"/>
        </w:numPr>
        <w:autoSpaceDE w:val="0"/>
        <w:autoSpaceDN w:val="0"/>
        <w:adjustRightInd w:val="0"/>
        <w:ind w:left="0"/>
        <w:contextualSpacing/>
        <w:rPr>
          <w:rFonts w:ascii="Helvetica" w:hAnsi="Helvetica" w:cs="Helvetica"/>
          <w:szCs w:val="22"/>
          <w:lang w:eastAsia="en-US"/>
        </w:rPr>
      </w:pPr>
      <w:r w:rsidRPr="008747BD">
        <w:rPr>
          <w:rFonts w:ascii="Helvetica" w:hAnsi="Helvetica" w:cs="Helvetica"/>
          <w:szCs w:val="22"/>
          <w:lang w:eastAsia="en-US"/>
        </w:rPr>
        <w:t>The capital programme for 2019/20.</w:t>
      </w:r>
    </w:p>
    <w:p w:rsidR="008747BD" w:rsidRPr="008747BD" w:rsidRDefault="008747BD" w:rsidP="008747BD">
      <w:pPr>
        <w:autoSpaceDE w:val="0"/>
        <w:autoSpaceDN w:val="0"/>
        <w:adjustRightInd w:val="0"/>
        <w:rPr>
          <w:rFonts w:ascii="Helvetica" w:hAnsi="Helvetica" w:cs="Helvetica"/>
          <w:szCs w:val="22"/>
          <w:lang w:eastAsia="en-US"/>
        </w:rPr>
      </w:pPr>
    </w:p>
    <w:p w:rsidR="008747BD" w:rsidRPr="008747BD" w:rsidRDefault="008747BD" w:rsidP="008747BD">
      <w:pPr>
        <w:autoSpaceDE w:val="0"/>
        <w:autoSpaceDN w:val="0"/>
        <w:adjustRightInd w:val="0"/>
        <w:ind w:hanging="357"/>
        <w:rPr>
          <w:rFonts w:cs="Arial"/>
          <w:szCs w:val="22"/>
        </w:rPr>
      </w:pPr>
      <w:r w:rsidRPr="008747BD">
        <w:rPr>
          <w:rFonts w:cs="Arial"/>
          <w:szCs w:val="22"/>
        </w:rPr>
        <w:t>2.</w:t>
      </w:r>
      <w:r w:rsidRPr="008747BD">
        <w:rPr>
          <w:rFonts w:cs="Arial"/>
          <w:szCs w:val="22"/>
        </w:rPr>
        <w:tab/>
        <w:t>It be noted that on the 16</w:t>
      </w:r>
      <w:r w:rsidRPr="008747BD">
        <w:rPr>
          <w:rFonts w:cs="Arial"/>
          <w:szCs w:val="22"/>
          <w:vertAlign w:val="superscript"/>
        </w:rPr>
        <w:t>th</w:t>
      </w:r>
      <w:r w:rsidRPr="008747BD">
        <w:rPr>
          <w:rFonts w:cs="Arial"/>
          <w:szCs w:val="22"/>
        </w:rPr>
        <w:t xml:space="preserve"> January 2019 under a delegated decision the Council calculated the Council Tax Base based on information held as at the 30</w:t>
      </w:r>
      <w:r w:rsidRPr="008747BD">
        <w:rPr>
          <w:rFonts w:cs="Arial"/>
          <w:szCs w:val="22"/>
          <w:vertAlign w:val="superscript"/>
        </w:rPr>
        <w:t>th</w:t>
      </w:r>
      <w:r w:rsidRPr="008747BD">
        <w:rPr>
          <w:rFonts w:cs="Arial"/>
          <w:szCs w:val="22"/>
        </w:rPr>
        <w:t xml:space="preserve"> November 2018 as required by legislation for 2019/20 as follows:-</w:t>
      </w:r>
    </w:p>
    <w:p w:rsidR="008747BD" w:rsidRPr="008747BD" w:rsidRDefault="008747BD" w:rsidP="008747BD">
      <w:pPr>
        <w:rPr>
          <w:rFonts w:cs="Arial"/>
          <w:szCs w:val="22"/>
        </w:rPr>
      </w:pPr>
    </w:p>
    <w:p w:rsidR="008747BD" w:rsidRPr="008747BD" w:rsidRDefault="008747BD" w:rsidP="008747BD">
      <w:pPr>
        <w:numPr>
          <w:ilvl w:val="0"/>
          <w:numId w:val="12"/>
        </w:numPr>
        <w:ind w:left="0"/>
        <w:contextualSpacing/>
        <w:rPr>
          <w:rFonts w:cs="Arial"/>
          <w:szCs w:val="22"/>
        </w:rPr>
      </w:pPr>
      <w:r w:rsidRPr="008747BD">
        <w:rPr>
          <w:rFonts w:cs="Arial"/>
          <w:szCs w:val="22"/>
        </w:rPr>
        <w:t>For the whole of Council area as 35,787.4 [Item T in the formula in Section 31B of the Local Government Finance Act 1992, as amended (the “Act”)]; and</w:t>
      </w:r>
    </w:p>
    <w:p w:rsidR="008747BD" w:rsidRPr="008747BD" w:rsidRDefault="008747BD" w:rsidP="008747BD">
      <w:pPr>
        <w:contextualSpacing/>
        <w:rPr>
          <w:rFonts w:cs="Arial"/>
          <w:szCs w:val="22"/>
        </w:rPr>
      </w:pPr>
    </w:p>
    <w:p w:rsidR="008747BD" w:rsidRPr="008747BD" w:rsidRDefault="008747BD" w:rsidP="008747BD">
      <w:pPr>
        <w:numPr>
          <w:ilvl w:val="0"/>
          <w:numId w:val="12"/>
        </w:numPr>
        <w:ind w:left="0"/>
        <w:contextualSpacing/>
        <w:rPr>
          <w:rFonts w:cs="Arial"/>
          <w:szCs w:val="22"/>
        </w:rPr>
      </w:pPr>
      <w:r w:rsidRPr="008747BD">
        <w:rPr>
          <w:rFonts w:cs="Arial"/>
          <w:szCs w:val="22"/>
        </w:rPr>
        <w:t>For dwellings in those parts of its area to which Parish precepts relates as attached in Appendix C.</w:t>
      </w:r>
    </w:p>
    <w:p w:rsidR="008747BD" w:rsidRPr="008747BD" w:rsidRDefault="008747BD" w:rsidP="008747BD">
      <w:pPr>
        <w:contextualSpacing/>
        <w:rPr>
          <w:rFonts w:cs="Arial"/>
          <w:szCs w:val="22"/>
        </w:rPr>
      </w:pPr>
    </w:p>
    <w:p w:rsidR="008747BD" w:rsidRPr="008747BD" w:rsidRDefault="008747BD" w:rsidP="008747BD">
      <w:pPr>
        <w:numPr>
          <w:ilvl w:val="0"/>
          <w:numId w:val="14"/>
        </w:numPr>
        <w:ind w:left="0" w:hanging="357"/>
        <w:contextualSpacing/>
        <w:rPr>
          <w:rFonts w:cs="Arial"/>
          <w:szCs w:val="22"/>
        </w:rPr>
      </w:pPr>
      <w:r w:rsidRPr="008747BD">
        <w:rPr>
          <w:rFonts w:cs="Arial"/>
          <w:szCs w:val="22"/>
        </w:rPr>
        <w:t>Calculate that the Council Tax requirement for the Council’s own purposes for 2019/20 (excluding Parish precepts) is £218.88.</w:t>
      </w:r>
    </w:p>
    <w:p w:rsidR="008747BD" w:rsidRPr="008747BD" w:rsidRDefault="008747BD" w:rsidP="008747BD">
      <w:pPr>
        <w:contextualSpacing/>
        <w:rPr>
          <w:rFonts w:cs="Arial"/>
          <w:szCs w:val="22"/>
        </w:rPr>
      </w:pPr>
    </w:p>
    <w:p w:rsidR="008747BD" w:rsidRPr="008747BD" w:rsidRDefault="008747BD" w:rsidP="008747BD">
      <w:pPr>
        <w:numPr>
          <w:ilvl w:val="0"/>
          <w:numId w:val="14"/>
        </w:numPr>
        <w:ind w:left="0" w:hanging="357"/>
        <w:contextualSpacing/>
        <w:rPr>
          <w:rFonts w:cs="Arial"/>
          <w:szCs w:val="22"/>
        </w:rPr>
      </w:pPr>
      <w:r w:rsidRPr="008747BD">
        <w:rPr>
          <w:rFonts w:cs="Arial"/>
          <w:szCs w:val="22"/>
        </w:rPr>
        <w:t>The following amounts be calculated for the 2019/20 in accordance with Sections 31 to 36 of  the Act:</w:t>
      </w:r>
    </w:p>
    <w:p w:rsidR="008747BD" w:rsidRPr="008747BD" w:rsidRDefault="008747BD" w:rsidP="008747BD">
      <w:pPr>
        <w:contextualSpacing/>
        <w:rPr>
          <w:rFonts w:cs="Arial"/>
          <w:color w:val="000000"/>
          <w:szCs w:val="22"/>
        </w:rPr>
      </w:pPr>
    </w:p>
    <w:p w:rsidR="008747BD" w:rsidRPr="008747BD" w:rsidRDefault="008747BD" w:rsidP="008747BD">
      <w:pPr>
        <w:numPr>
          <w:ilvl w:val="0"/>
          <w:numId w:val="16"/>
        </w:numPr>
        <w:tabs>
          <w:tab w:val="left" w:pos="426"/>
        </w:tabs>
        <w:ind w:left="2127" w:hanging="2127"/>
        <w:contextualSpacing/>
        <w:rPr>
          <w:rFonts w:cs="Arial"/>
          <w:color w:val="000000"/>
          <w:szCs w:val="22"/>
        </w:rPr>
      </w:pPr>
      <w:r w:rsidRPr="008747BD">
        <w:rPr>
          <w:rFonts w:cs="Arial"/>
          <w:color w:val="000000"/>
          <w:szCs w:val="22"/>
        </w:rPr>
        <w:lastRenderedPageBreak/>
        <w:t>£54,744,611</w:t>
      </w:r>
      <w:r w:rsidRPr="008747BD">
        <w:rPr>
          <w:rFonts w:cs="Arial"/>
          <w:color w:val="000000"/>
          <w:szCs w:val="22"/>
        </w:rPr>
        <w:tab/>
        <w:t>being the aggregate of the amounts which the Council estimates for the items set out in Section 31A(2) of the Act taking into account all precepts issued to it by Parish and Town Councils. (This expenditure includes the government tariff payable in respect of business rates of £15,149,823)</w:t>
      </w:r>
    </w:p>
    <w:p w:rsidR="008747BD" w:rsidRPr="008747BD" w:rsidRDefault="008747BD" w:rsidP="008747BD">
      <w:pPr>
        <w:tabs>
          <w:tab w:val="left" w:pos="1418"/>
        </w:tabs>
        <w:ind w:left="426" w:hanging="426"/>
        <w:contextualSpacing/>
        <w:rPr>
          <w:rFonts w:cs="Arial"/>
          <w:color w:val="000000"/>
          <w:sz w:val="16"/>
          <w:szCs w:val="16"/>
        </w:rPr>
      </w:pPr>
    </w:p>
    <w:p w:rsidR="008747BD" w:rsidRPr="008747BD" w:rsidRDefault="008747BD" w:rsidP="008747BD">
      <w:pPr>
        <w:numPr>
          <w:ilvl w:val="0"/>
          <w:numId w:val="16"/>
        </w:numPr>
        <w:tabs>
          <w:tab w:val="left" w:pos="426"/>
        </w:tabs>
        <w:ind w:left="2127" w:hanging="2127"/>
        <w:contextualSpacing/>
        <w:rPr>
          <w:rFonts w:cs="Arial"/>
          <w:color w:val="000000"/>
          <w:szCs w:val="22"/>
        </w:rPr>
      </w:pPr>
      <w:r w:rsidRPr="008747BD">
        <w:rPr>
          <w:rFonts w:cs="Arial"/>
          <w:color w:val="000000"/>
          <w:szCs w:val="22"/>
        </w:rPr>
        <w:t>£46,514,361</w:t>
      </w:r>
      <w:r w:rsidRPr="008747BD">
        <w:rPr>
          <w:rFonts w:cs="Arial"/>
          <w:color w:val="000000"/>
          <w:szCs w:val="22"/>
        </w:rPr>
        <w:tab/>
        <w:t>being the aggregate of the amounts which the Council estimates for the items set out in Section 31A(3) of the Act. (This income includes business rates baseline funding of £17,458,653).</w:t>
      </w:r>
    </w:p>
    <w:p w:rsidR="008747BD" w:rsidRPr="008747BD" w:rsidRDefault="008747BD" w:rsidP="008747BD">
      <w:pPr>
        <w:tabs>
          <w:tab w:val="left" w:pos="1418"/>
        </w:tabs>
        <w:ind w:left="426" w:hanging="426"/>
        <w:rPr>
          <w:rFonts w:cs="Arial"/>
          <w:color w:val="000000"/>
          <w:sz w:val="16"/>
          <w:szCs w:val="16"/>
        </w:rPr>
      </w:pPr>
    </w:p>
    <w:p w:rsidR="008747BD" w:rsidRPr="008747BD" w:rsidRDefault="008747BD" w:rsidP="008747BD">
      <w:pPr>
        <w:numPr>
          <w:ilvl w:val="0"/>
          <w:numId w:val="16"/>
        </w:numPr>
        <w:tabs>
          <w:tab w:val="left" w:pos="426"/>
        </w:tabs>
        <w:ind w:left="2127" w:hanging="2127"/>
        <w:contextualSpacing/>
        <w:rPr>
          <w:rFonts w:cs="Arial"/>
          <w:color w:val="000000"/>
          <w:szCs w:val="22"/>
        </w:rPr>
      </w:pPr>
      <w:r w:rsidRPr="008747BD">
        <w:rPr>
          <w:rFonts w:cs="Arial"/>
          <w:color w:val="000000"/>
          <w:szCs w:val="22"/>
        </w:rPr>
        <w:t>£8,230,250</w:t>
      </w:r>
      <w:r w:rsidRPr="008747BD">
        <w:rPr>
          <w:rFonts w:cs="Arial"/>
          <w:color w:val="000000"/>
          <w:szCs w:val="22"/>
        </w:rPr>
        <w:tab/>
        <w:t>being the amount by which the aggregate at 4(a) above exceeds the aggregate at 4(b) above, calculated by the Council in accordance with Section 31A(4) of the Act as its Council Tax requirement for the year. (Item R in the formula in Section 31B of the Act).</w:t>
      </w:r>
    </w:p>
    <w:p w:rsidR="008747BD" w:rsidRPr="008747BD" w:rsidRDefault="008747BD" w:rsidP="008747BD">
      <w:pPr>
        <w:tabs>
          <w:tab w:val="left" w:pos="426"/>
        </w:tabs>
        <w:ind w:left="2127"/>
        <w:contextualSpacing/>
        <w:rPr>
          <w:rFonts w:cs="Arial"/>
          <w:color w:val="000000"/>
          <w:szCs w:val="22"/>
        </w:rPr>
      </w:pPr>
    </w:p>
    <w:p w:rsidR="008747BD" w:rsidRPr="008747BD" w:rsidRDefault="008747BD" w:rsidP="008747BD">
      <w:pPr>
        <w:numPr>
          <w:ilvl w:val="0"/>
          <w:numId w:val="16"/>
        </w:numPr>
        <w:tabs>
          <w:tab w:val="left" w:pos="426"/>
        </w:tabs>
        <w:ind w:left="2127" w:hanging="2127"/>
        <w:contextualSpacing/>
        <w:rPr>
          <w:rFonts w:cs="Arial"/>
          <w:color w:val="000000"/>
          <w:szCs w:val="22"/>
        </w:rPr>
      </w:pPr>
      <w:r w:rsidRPr="008747BD">
        <w:rPr>
          <w:rFonts w:cs="Arial"/>
          <w:color w:val="000000"/>
          <w:szCs w:val="22"/>
        </w:rPr>
        <w:t>£229.98</w:t>
      </w:r>
      <w:r w:rsidRPr="008747BD">
        <w:rPr>
          <w:rFonts w:cs="Arial"/>
          <w:color w:val="000000"/>
          <w:szCs w:val="22"/>
        </w:rPr>
        <w:tab/>
      </w:r>
      <w:r w:rsidRPr="008747BD">
        <w:rPr>
          <w:rFonts w:cs="Arial"/>
          <w:color w:val="000000"/>
          <w:szCs w:val="22"/>
        </w:rPr>
        <w:tab/>
        <w:t>being the amount at 4(c) above (Item R), all divided by Item T (2(a) above), calculated by the Council, in accordance with Section 31B of the Act, as the basic amount of its Council Tax for the year (including Parish precepts).</w:t>
      </w:r>
    </w:p>
    <w:p w:rsidR="008747BD" w:rsidRPr="008747BD" w:rsidRDefault="008747BD" w:rsidP="008747BD">
      <w:pPr>
        <w:tabs>
          <w:tab w:val="left" w:pos="426"/>
        </w:tabs>
        <w:ind w:left="2127"/>
        <w:contextualSpacing/>
        <w:rPr>
          <w:rFonts w:cs="Arial"/>
          <w:color w:val="000000"/>
          <w:szCs w:val="22"/>
        </w:rPr>
      </w:pPr>
    </w:p>
    <w:p w:rsidR="008747BD" w:rsidRPr="008747BD" w:rsidRDefault="008747BD" w:rsidP="008747BD">
      <w:pPr>
        <w:numPr>
          <w:ilvl w:val="0"/>
          <w:numId w:val="16"/>
        </w:numPr>
        <w:tabs>
          <w:tab w:val="left" w:pos="426"/>
        </w:tabs>
        <w:ind w:left="2127" w:hanging="2127"/>
        <w:contextualSpacing/>
        <w:rPr>
          <w:rFonts w:cs="Arial"/>
          <w:color w:val="000000"/>
          <w:szCs w:val="22"/>
        </w:rPr>
      </w:pPr>
      <w:r w:rsidRPr="008747BD">
        <w:rPr>
          <w:rFonts w:cs="Arial"/>
          <w:color w:val="000000"/>
          <w:szCs w:val="22"/>
        </w:rPr>
        <w:t>£397,104</w:t>
      </w:r>
      <w:r w:rsidRPr="008747BD">
        <w:rPr>
          <w:rFonts w:cs="Arial"/>
          <w:color w:val="000000"/>
          <w:szCs w:val="22"/>
        </w:rPr>
        <w:tab/>
      </w:r>
      <w:r w:rsidRPr="008747BD">
        <w:rPr>
          <w:rFonts w:cs="Arial"/>
          <w:color w:val="000000"/>
          <w:szCs w:val="22"/>
        </w:rPr>
        <w:tab/>
        <w:t>being the aggregate amount of all special items (Parish precepts) referred to in Section 34(1) of the Act (as per the attached Appendix B).</w:t>
      </w:r>
    </w:p>
    <w:p w:rsidR="008747BD" w:rsidRPr="008747BD" w:rsidRDefault="008747BD" w:rsidP="008747BD">
      <w:pPr>
        <w:tabs>
          <w:tab w:val="left" w:pos="426"/>
        </w:tabs>
        <w:ind w:left="2127"/>
        <w:contextualSpacing/>
        <w:rPr>
          <w:rFonts w:cs="Arial"/>
          <w:color w:val="000000"/>
          <w:szCs w:val="22"/>
        </w:rPr>
      </w:pPr>
    </w:p>
    <w:p w:rsidR="008747BD" w:rsidRPr="008747BD" w:rsidRDefault="008747BD" w:rsidP="008747BD">
      <w:pPr>
        <w:numPr>
          <w:ilvl w:val="0"/>
          <w:numId w:val="16"/>
        </w:numPr>
        <w:tabs>
          <w:tab w:val="left" w:pos="426"/>
        </w:tabs>
        <w:ind w:left="2127" w:hanging="2127"/>
        <w:contextualSpacing/>
        <w:rPr>
          <w:rFonts w:cs="Arial"/>
          <w:color w:val="000000"/>
          <w:szCs w:val="22"/>
        </w:rPr>
      </w:pPr>
      <w:r w:rsidRPr="008747BD">
        <w:rPr>
          <w:rFonts w:cs="Arial"/>
          <w:color w:val="000000"/>
          <w:szCs w:val="22"/>
        </w:rPr>
        <w:t>£218.88</w:t>
      </w:r>
      <w:r w:rsidRPr="008747BD">
        <w:rPr>
          <w:rFonts w:cs="Arial"/>
          <w:color w:val="000000"/>
          <w:szCs w:val="22"/>
        </w:rPr>
        <w:tab/>
      </w:r>
      <w:r w:rsidRPr="008747BD">
        <w:rPr>
          <w:rFonts w:cs="Arial"/>
          <w:color w:val="000000"/>
          <w:szCs w:val="22"/>
        </w:rPr>
        <w:tab/>
        <w:t xml:space="preserve">being the amount at 4(d) above less the result given by dividing the amount at 4(e) above by Item T </w:t>
      </w:r>
      <w:r w:rsidRPr="008747BD">
        <w:rPr>
          <w:rFonts w:cs="Arial"/>
          <w:color w:val="000000"/>
          <w:szCs w:val="22"/>
        </w:rPr>
        <w:lastRenderedPageBreak/>
        <w:t>(2(a) above), calculated by the Council, in accordance with Section 34(2) of the Act, as the basic amount of its Council Tax for the year for dwellings in those parts of its area to which no Parish precept relates.</w:t>
      </w:r>
    </w:p>
    <w:p w:rsidR="008747BD" w:rsidRPr="008747BD" w:rsidRDefault="008747BD" w:rsidP="008747BD">
      <w:pPr>
        <w:contextualSpacing/>
        <w:rPr>
          <w:rFonts w:cs="Arial"/>
          <w:szCs w:val="22"/>
        </w:rPr>
      </w:pPr>
    </w:p>
    <w:p w:rsidR="008747BD" w:rsidRPr="008747BD" w:rsidRDefault="008747BD" w:rsidP="008747BD">
      <w:pPr>
        <w:numPr>
          <w:ilvl w:val="0"/>
          <w:numId w:val="14"/>
        </w:numPr>
        <w:ind w:left="0" w:hanging="284"/>
        <w:contextualSpacing/>
        <w:rPr>
          <w:rFonts w:cs="Arial"/>
          <w:szCs w:val="22"/>
        </w:rPr>
      </w:pPr>
      <w:r w:rsidRPr="008747BD">
        <w:rPr>
          <w:rFonts w:cs="Arial"/>
          <w:szCs w:val="22"/>
        </w:rPr>
        <w:t>To note that the County Council, the Lancashire Police and Crime Commissioner and the Fire Authority have issued Precepts to the Council in accordance with Section 42A of the Local Government Finance Act 1992 for each category of dwellings in the Council’s area as indicated in the table below.</w:t>
      </w:r>
    </w:p>
    <w:p w:rsidR="008747BD" w:rsidRPr="008747BD" w:rsidRDefault="008747BD" w:rsidP="008747BD">
      <w:pPr>
        <w:autoSpaceDE w:val="0"/>
        <w:autoSpaceDN w:val="0"/>
        <w:adjustRightInd w:val="0"/>
        <w:rPr>
          <w:rFonts w:cs="Arial"/>
          <w:color w:val="000000"/>
          <w:sz w:val="24"/>
          <w:szCs w:val="24"/>
        </w:rPr>
      </w:pPr>
    </w:p>
    <w:p w:rsidR="008747BD" w:rsidRPr="008747BD" w:rsidRDefault="008747BD" w:rsidP="008747BD">
      <w:pPr>
        <w:numPr>
          <w:ilvl w:val="0"/>
          <w:numId w:val="14"/>
        </w:numPr>
        <w:autoSpaceDE w:val="0"/>
        <w:autoSpaceDN w:val="0"/>
        <w:adjustRightInd w:val="0"/>
        <w:ind w:left="0" w:hanging="284"/>
        <w:rPr>
          <w:rFonts w:cs="Arial"/>
          <w:color w:val="000000"/>
          <w:szCs w:val="22"/>
        </w:rPr>
      </w:pPr>
      <w:r w:rsidRPr="008747BD">
        <w:rPr>
          <w:rFonts w:cs="Arial"/>
          <w:color w:val="000000"/>
          <w:szCs w:val="22"/>
        </w:rPr>
        <w:t xml:space="preserve">That the Council, in accordance with Sections 30 and 36 of the Local Government Finance Act 1992, hereby sets the aggregate amounts shown in the tables below as the amounts of Council Tax for 2019/20 for each part of its area and for each of the categories of dwellings. </w:t>
      </w:r>
    </w:p>
    <w:p w:rsidR="008747BD" w:rsidRPr="008747BD" w:rsidRDefault="008747BD" w:rsidP="008747BD">
      <w:pPr>
        <w:contextualSpacing/>
        <w:rPr>
          <w:rFonts w:cs="Arial"/>
          <w:b/>
          <w:szCs w:val="22"/>
        </w:rPr>
      </w:pPr>
    </w:p>
    <w:p w:rsidR="008747BD" w:rsidRPr="008747BD" w:rsidRDefault="008747BD" w:rsidP="008747BD">
      <w:pPr>
        <w:autoSpaceDE w:val="0"/>
        <w:autoSpaceDN w:val="0"/>
        <w:adjustRightInd w:val="0"/>
        <w:rPr>
          <w:rFonts w:cs="Arial"/>
          <w:b/>
          <w:color w:val="000000"/>
          <w:szCs w:val="22"/>
        </w:rPr>
      </w:pPr>
      <w:r w:rsidRPr="008747BD">
        <w:rPr>
          <w:rFonts w:cs="Arial"/>
          <w:b/>
          <w:color w:val="000000"/>
          <w:szCs w:val="22"/>
        </w:rPr>
        <w:t>South Ribble Borough Council</w:t>
      </w:r>
    </w:p>
    <w:p w:rsidR="008747BD" w:rsidRPr="008747BD" w:rsidRDefault="008747BD" w:rsidP="008747BD">
      <w:pPr>
        <w:autoSpaceDE w:val="0"/>
        <w:autoSpaceDN w:val="0"/>
        <w:adjustRightInd w:val="0"/>
        <w:rPr>
          <w:rFonts w:cs="Arial"/>
          <w:color w:val="000000"/>
          <w:sz w:val="12"/>
          <w:szCs w:val="12"/>
        </w:rPr>
      </w:pPr>
    </w:p>
    <w:tbl>
      <w:tblPr>
        <w:tblW w:w="9792" w:type="dxa"/>
        <w:tblInd w:w="426" w:type="dxa"/>
        <w:tblLook w:val="00A0" w:firstRow="1" w:lastRow="0" w:firstColumn="1" w:lastColumn="0" w:noHBand="0" w:noVBand="0"/>
      </w:tblPr>
      <w:tblGrid>
        <w:gridCol w:w="1224"/>
        <w:gridCol w:w="1224"/>
        <w:gridCol w:w="1224"/>
        <w:gridCol w:w="1224"/>
        <w:gridCol w:w="1224"/>
        <w:gridCol w:w="1224"/>
        <w:gridCol w:w="1224"/>
        <w:gridCol w:w="1224"/>
      </w:tblGrid>
      <w:tr w:rsidR="008747BD" w:rsidRPr="008747BD" w:rsidTr="00277F4B">
        <w:trPr>
          <w:trHeight w:val="339"/>
        </w:trPr>
        <w:tc>
          <w:tcPr>
            <w:tcW w:w="9792" w:type="dxa"/>
            <w:gridSpan w:val="8"/>
            <w:tcBorders>
              <w:top w:val="single" w:sz="8" w:space="0" w:color="auto"/>
              <w:left w:val="single" w:sz="8" w:space="0" w:color="auto"/>
              <w:bottom w:val="single" w:sz="4" w:space="0" w:color="auto"/>
              <w:right w:val="single" w:sz="8" w:space="0" w:color="000000"/>
            </w:tcBorders>
            <w:noWrap/>
            <w:vAlign w:val="bottom"/>
          </w:tcPr>
          <w:p w:rsidR="008747BD" w:rsidRPr="008747BD" w:rsidRDefault="008747BD" w:rsidP="008747BD">
            <w:pPr>
              <w:jc w:val="center"/>
              <w:rPr>
                <w:rFonts w:cs="Arial"/>
                <w:szCs w:val="22"/>
              </w:rPr>
            </w:pPr>
            <w:r w:rsidRPr="008747BD">
              <w:rPr>
                <w:rFonts w:cs="Arial"/>
                <w:szCs w:val="22"/>
              </w:rPr>
              <w:t>Valuation Bands</w:t>
            </w:r>
          </w:p>
        </w:tc>
      </w:tr>
      <w:tr w:rsidR="008747BD" w:rsidRPr="008747BD" w:rsidTr="00277F4B">
        <w:trPr>
          <w:trHeight w:val="339"/>
        </w:trPr>
        <w:tc>
          <w:tcPr>
            <w:tcW w:w="1224" w:type="dxa"/>
            <w:tcBorders>
              <w:top w:val="nil"/>
              <w:left w:val="single" w:sz="8" w:space="0" w:color="auto"/>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A</w:t>
            </w:r>
          </w:p>
        </w:tc>
        <w:tc>
          <w:tcPr>
            <w:tcW w:w="1224"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B</w:t>
            </w:r>
          </w:p>
        </w:tc>
        <w:tc>
          <w:tcPr>
            <w:tcW w:w="1224"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C</w:t>
            </w:r>
          </w:p>
        </w:tc>
        <w:tc>
          <w:tcPr>
            <w:tcW w:w="1224"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D</w:t>
            </w:r>
          </w:p>
        </w:tc>
        <w:tc>
          <w:tcPr>
            <w:tcW w:w="1224"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E</w:t>
            </w:r>
          </w:p>
        </w:tc>
        <w:tc>
          <w:tcPr>
            <w:tcW w:w="1224"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F</w:t>
            </w:r>
          </w:p>
        </w:tc>
        <w:tc>
          <w:tcPr>
            <w:tcW w:w="1224"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G</w:t>
            </w:r>
          </w:p>
        </w:tc>
        <w:tc>
          <w:tcPr>
            <w:tcW w:w="1224" w:type="dxa"/>
            <w:tcBorders>
              <w:top w:val="nil"/>
              <w:left w:val="nil"/>
              <w:bottom w:val="single" w:sz="4" w:space="0" w:color="auto"/>
              <w:right w:val="single" w:sz="8" w:space="0" w:color="auto"/>
            </w:tcBorders>
            <w:noWrap/>
            <w:vAlign w:val="bottom"/>
          </w:tcPr>
          <w:p w:rsidR="008747BD" w:rsidRPr="008747BD" w:rsidRDefault="008747BD" w:rsidP="008747BD">
            <w:pPr>
              <w:jc w:val="center"/>
              <w:rPr>
                <w:rFonts w:cs="Arial"/>
                <w:b/>
                <w:bCs/>
                <w:szCs w:val="22"/>
              </w:rPr>
            </w:pPr>
            <w:r w:rsidRPr="008747BD">
              <w:rPr>
                <w:rFonts w:cs="Arial"/>
                <w:b/>
                <w:bCs/>
                <w:szCs w:val="22"/>
              </w:rPr>
              <w:t>H</w:t>
            </w:r>
          </w:p>
        </w:tc>
      </w:tr>
      <w:tr w:rsidR="008747BD" w:rsidRPr="008747BD" w:rsidTr="00277F4B">
        <w:trPr>
          <w:trHeight w:val="339"/>
        </w:trPr>
        <w:tc>
          <w:tcPr>
            <w:tcW w:w="1224" w:type="dxa"/>
            <w:tcBorders>
              <w:top w:val="nil"/>
              <w:left w:val="single" w:sz="8" w:space="0" w:color="auto"/>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£145.92</w:t>
            </w:r>
          </w:p>
        </w:tc>
        <w:tc>
          <w:tcPr>
            <w:tcW w:w="1224"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£170.24</w:t>
            </w:r>
          </w:p>
        </w:tc>
        <w:tc>
          <w:tcPr>
            <w:tcW w:w="1224"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£194.56</w:t>
            </w:r>
          </w:p>
        </w:tc>
        <w:tc>
          <w:tcPr>
            <w:tcW w:w="1224"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£218.88</w:t>
            </w:r>
          </w:p>
        </w:tc>
        <w:tc>
          <w:tcPr>
            <w:tcW w:w="1224"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£267.52</w:t>
            </w:r>
          </w:p>
        </w:tc>
        <w:tc>
          <w:tcPr>
            <w:tcW w:w="1224"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£316.16</w:t>
            </w:r>
          </w:p>
        </w:tc>
        <w:tc>
          <w:tcPr>
            <w:tcW w:w="1224"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£364.80</w:t>
            </w:r>
          </w:p>
        </w:tc>
        <w:tc>
          <w:tcPr>
            <w:tcW w:w="1224" w:type="dxa"/>
            <w:tcBorders>
              <w:top w:val="nil"/>
              <w:left w:val="nil"/>
              <w:bottom w:val="single" w:sz="4" w:space="0" w:color="auto"/>
              <w:right w:val="single" w:sz="8"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£437.76</w:t>
            </w:r>
          </w:p>
        </w:tc>
      </w:tr>
    </w:tbl>
    <w:p w:rsidR="008747BD" w:rsidRPr="008747BD" w:rsidRDefault="008747BD" w:rsidP="008747BD">
      <w:pPr>
        <w:autoSpaceDE w:val="0"/>
        <w:autoSpaceDN w:val="0"/>
        <w:adjustRightInd w:val="0"/>
        <w:rPr>
          <w:rFonts w:cs="Arial"/>
          <w:color w:val="000000"/>
          <w:szCs w:val="22"/>
          <w:highlight w:val="yellow"/>
        </w:rPr>
      </w:pPr>
    </w:p>
    <w:p w:rsidR="008747BD" w:rsidRPr="008747BD" w:rsidRDefault="008747BD" w:rsidP="008747BD">
      <w:pPr>
        <w:autoSpaceDE w:val="0"/>
        <w:autoSpaceDN w:val="0"/>
        <w:adjustRightInd w:val="0"/>
        <w:rPr>
          <w:rFonts w:cs="Arial"/>
          <w:color w:val="000000"/>
          <w:szCs w:val="22"/>
          <w:highlight w:val="yellow"/>
        </w:rPr>
      </w:pPr>
    </w:p>
    <w:p w:rsidR="008747BD" w:rsidRPr="008747BD" w:rsidRDefault="008747BD" w:rsidP="008747BD">
      <w:pPr>
        <w:autoSpaceDE w:val="0"/>
        <w:autoSpaceDN w:val="0"/>
        <w:adjustRightInd w:val="0"/>
        <w:rPr>
          <w:rFonts w:cs="Arial"/>
          <w:b/>
          <w:color w:val="000000"/>
          <w:szCs w:val="22"/>
        </w:rPr>
      </w:pPr>
      <w:r w:rsidRPr="008747BD">
        <w:rPr>
          <w:rFonts w:cs="Arial"/>
          <w:b/>
          <w:color w:val="000000"/>
          <w:szCs w:val="22"/>
        </w:rPr>
        <w:t>Lancashire County Council</w:t>
      </w:r>
    </w:p>
    <w:p w:rsidR="008747BD" w:rsidRPr="008747BD" w:rsidRDefault="008747BD" w:rsidP="008747BD">
      <w:pPr>
        <w:autoSpaceDE w:val="0"/>
        <w:autoSpaceDN w:val="0"/>
        <w:adjustRightInd w:val="0"/>
        <w:rPr>
          <w:rFonts w:cs="Arial"/>
          <w:color w:val="000000"/>
          <w:sz w:val="12"/>
          <w:szCs w:val="12"/>
        </w:rPr>
      </w:pPr>
    </w:p>
    <w:tbl>
      <w:tblPr>
        <w:tblW w:w="9804" w:type="dxa"/>
        <w:tblInd w:w="466" w:type="dxa"/>
        <w:tblLook w:val="00A0" w:firstRow="1" w:lastRow="0" w:firstColumn="1" w:lastColumn="0" w:noHBand="0" w:noVBand="0"/>
      </w:tblPr>
      <w:tblGrid>
        <w:gridCol w:w="1109"/>
        <w:gridCol w:w="1195"/>
        <w:gridCol w:w="1195"/>
        <w:gridCol w:w="1305"/>
        <w:gridCol w:w="1305"/>
        <w:gridCol w:w="1305"/>
        <w:gridCol w:w="1305"/>
        <w:gridCol w:w="1195"/>
      </w:tblGrid>
      <w:tr w:rsidR="008747BD" w:rsidRPr="008747BD" w:rsidTr="00277F4B">
        <w:trPr>
          <w:trHeight w:val="359"/>
        </w:trPr>
        <w:tc>
          <w:tcPr>
            <w:tcW w:w="9804" w:type="dxa"/>
            <w:gridSpan w:val="8"/>
            <w:tcBorders>
              <w:top w:val="single" w:sz="8" w:space="0" w:color="auto"/>
              <w:left w:val="single" w:sz="8" w:space="0" w:color="auto"/>
              <w:bottom w:val="single" w:sz="4" w:space="0" w:color="auto"/>
              <w:right w:val="single" w:sz="8" w:space="0" w:color="000000"/>
            </w:tcBorders>
            <w:noWrap/>
            <w:vAlign w:val="bottom"/>
          </w:tcPr>
          <w:p w:rsidR="008747BD" w:rsidRPr="008747BD" w:rsidRDefault="008747BD" w:rsidP="008747BD">
            <w:pPr>
              <w:jc w:val="center"/>
              <w:rPr>
                <w:rFonts w:cs="Arial"/>
                <w:szCs w:val="22"/>
              </w:rPr>
            </w:pPr>
            <w:r w:rsidRPr="008747BD">
              <w:rPr>
                <w:rFonts w:cs="Arial"/>
                <w:szCs w:val="22"/>
              </w:rPr>
              <w:t>Valuation Bands</w:t>
            </w:r>
          </w:p>
        </w:tc>
      </w:tr>
      <w:tr w:rsidR="008747BD" w:rsidRPr="008747BD" w:rsidTr="00277F4B">
        <w:trPr>
          <w:trHeight w:val="359"/>
        </w:trPr>
        <w:tc>
          <w:tcPr>
            <w:tcW w:w="1109" w:type="dxa"/>
            <w:tcBorders>
              <w:top w:val="nil"/>
              <w:left w:val="single" w:sz="8" w:space="0" w:color="auto"/>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A</w:t>
            </w:r>
          </w:p>
        </w:tc>
        <w:tc>
          <w:tcPr>
            <w:tcW w:w="108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B</w:t>
            </w:r>
          </w:p>
        </w:tc>
        <w:tc>
          <w:tcPr>
            <w:tcW w:w="119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C</w:t>
            </w:r>
          </w:p>
        </w:tc>
        <w:tc>
          <w:tcPr>
            <w:tcW w:w="130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D</w:t>
            </w:r>
          </w:p>
        </w:tc>
        <w:tc>
          <w:tcPr>
            <w:tcW w:w="130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E</w:t>
            </w:r>
          </w:p>
        </w:tc>
        <w:tc>
          <w:tcPr>
            <w:tcW w:w="130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F</w:t>
            </w:r>
          </w:p>
        </w:tc>
        <w:tc>
          <w:tcPr>
            <w:tcW w:w="130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G</w:t>
            </w:r>
          </w:p>
        </w:tc>
        <w:tc>
          <w:tcPr>
            <w:tcW w:w="1195" w:type="dxa"/>
            <w:tcBorders>
              <w:top w:val="nil"/>
              <w:left w:val="nil"/>
              <w:bottom w:val="single" w:sz="4" w:space="0" w:color="auto"/>
              <w:right w:val="single" w:sz="8" w:space="0" w:color="auto"/>
            </w:tcBorders>
            <w:noWrap/>
            <w:vAlign w:val="bottom"/>
          </w:tcPr>
          <w:p w:rsidR="008747BD" w:rsidRPr="008747BD" w:rsidRDefault="008747BD" w:rsidP="008747BD">
            <w:pPr>
              <w:jc w:val="center"/>
              <w:rPr>
                <w:rFonts w:cs="Arial"/>
                <w:b/>
                <w:bCs/>
                <w:szCs w:val="22"/>
              </w:rPr>
            </w:pPr>
            <w:r w:rsidRPr="008747BD">
              <w:rPr>
                <w:rFonts w:cs="Arial"/>
                <w:b/>
                <w:bCs/>
                <w:szCs w:val="22"/>
              </w:rPr>
              <w:t>H</w:t>
            </w:r>
          </w:p>
        </w:tc>
      </w:tr>
      <w:tr w:rsidR="008747BD" w:rsidRPr="008747BD" w:rsidTr="00277F4B">
        <w:trPr>
          <w:trHeight w:val="359"/>
        </w:trPr>
        <w:tc>
          <w:tcPr>
            <w:tcW w:w="1109" w:type="dxa"/>
            <w:tcBorders>
              <w:top w:val="nil"/>
              <w:left w:val="single" w:sz="8" w:space="0" w:color="auto"/>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£897.73</w:t>
            </w:r>
          </w:p>
        </w:tc>
        <w:tc>
          <w:tcPr>
            <w:tcW w:w="108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£1,047.35</w:t>
            </w:r>
          </w:p>
        </w:tc>
        <w:tc>
          <w:tcPr>
            <w:tcW w:w="119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£1,196.97</w:t>
            </w:r>
          </w:p>
        </w:tc>
        <w:tc>
          <w:tcPr>
            <w:tcW w:w="130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£1,346.59</w:t>
            </w:r>
          </w:p>
        </w:tc>
        <w:tc>
          <w:tcPr>
            <w:tcW w:w="130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£1,645.83</w:t>
            </w:r>
          </w:p>
        </w:tc>
        <w:tc>
          <w:tcPr>
            <w:tcW w:w="130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£1,945.07</w:t>
            </w:r>
          </w:p>
        </w:tc>
        <w:tc>
          <w:tcPr>
            <w:tcW w:w="130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£2,244.32</w:t>
            </w:r>
          </w:p>
        </w:tc>
        <w:tc>
          <w:tcPr>
            <w:tcW w:w="1195" w:type="dxa"/>
            <w:tcBorders>
              <w:top w:val="nil"/>
              <w:left w:val="nil"/>
              <w:bottom w:val="single" w:sz="4" w:space="0" w:color="auto"/>
              <w:right w:val="single" w:sz="8"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£2,693.18</w:t>
            </w:r>
          </w:p>
        </w:tc>
      </w:tr>
    </w:tbl>
    <w:p w:rsidR="008747BD" w:rsidRPr="008747BD" w:rsidRDefault="008747BD" w:rsidP="008747BD">
      <w:pPr>
        <w:autoSpaceDE w:val="0"/>
        <w:autoSpaceDN w:val="0"/>
        <w:adjustRightInd w:val="0"/>
        <w:rPr>
          <w:rFonts w:cs="Arial"/>
          <w:color w:val="000000"/>
          <w:szCs w:val="22"/>
          <w:highlight w:val="yellow"/>
        </w:rPr>
      </w:pPr>
    </w:p>
    <w:p w:rsidR="008747BD" w:rsidRPr="008747BD" w:rsidRDefault="008747BD" w:rsidP="008747BD">
      <w:pPr>
        <w:autoSpaceDE w:val="0"/>
        <w:autoSpaceDN w:val="0"/>
        <w:adjustRightInd w:val="0"/>
        <w:jc w:val="right"/>
        <w:rPr>
          <w:rFonts w:cs="Arial"/>
          <w:color w:val="000000"/>
          <w:szCs w:val="22"/>
          <w:highlight w:val="yellow"/>
        </w:rPr>
      </w:pPr>
    </w:p>
    <w:p w:rsidR="008747BD" w:rsidRPr="008747BD" w:rsidRDefault="008747BD" w:rsidP="008747BD">
      <w:pPr>
        <w:autoSpaceDE w:val="0"/>
        <w:autoSpaceDN w:val="0"/>
        <w:adjustRightInd w:val="0"/>
        <w:rPr>
          <w:rFonts w:cs="Arial"/>
          <w:b/>
          <w:color w:val="000000"/>
          <w:szCs w:val="22"/>
        </w:rPr>
      </w:pPr>
      <w:r w:rsidRPr="008747BD">
        <w:rPr>
          <w:rFonts w:cs="Arial"/>
          <w:b/>
          <w:color w:val="000000"/>
          <w:szCs w:val="22"/>
        </w:rPr>
        <w:lastRenderedPageBreak/>
        <w:t>Police and Crime Commissioner for Lancashire</w:t>
      </w:r>
    </w:p>
    <w:p w:rsidR="008747BD" w:rsidRPr="008747BD" w:rsidRDefault="008747BD" w:rsidP="008747BD">
      <w:pPr>
        <w:autoSpaceDE w:val="0"/>
        <w:autoSpaceDN w:val="0"/>
        <w:adjustRightInd w:val="0"/>
        <w:rPr>
          <w:rFonts w:cs="Arial"/>
          <w:color w:val="000000"/>
          <w:sz w:val="12"/>
          <w:szCs w:val="12"/>
        </w:rPr>
      </w:pPr>
    </w:p>
    <w:tbl>
      <w:tblPr>
        <w:tblW w:w="9774" w:type="dxa"/>
        <w:tblInd w:w="406" w:type="dxa"/>
        <w:tblLook w:val="00A0" w:firstRow="1" w:lastRow="0" w:firstColumn="1" w:lastColumn="0" w:noHBand="0" w:noVBand="0"/>
      </w:tblPr>
      <w:tblGrid>
        <w:gridCol w:w="1059"/>
        <w:gridCol w:w="1245"/>
        <w:gridCol w:w="1245"/>
        <w:gridCol w:w="1245"/>
        <w:gridCol w:w="1245"/>
        <w:gridCol w:w="1245"/>
        <w:gridCol w:w="1245"/>
        <w:gridCol w:w="1245"/>
      </w:tblGrid>
      <w:tr w:rsidR="008747BD" w:rsidRPr="008747BD" w:rsidTr="00277F4B">
        <w:trPr>
          <w:trHeight w:val="310"/>
        </w:trPr>
        <w:tc>
          <w:tcPr>
            <w:tcW w:w="9774" w:type="dxa"/>
            <w:gridSpan w:val="8"/>
            <w:tcBorders>
              <w:top w:val="single" w:sz="8" w:space="0" w:color="auto"/>
              <w:left w:val="single" w:sz="8" w:space="0" w:color="auto"/>
              <w:bottom w:val="single" w:sz="4" w:space="0" w:color="auto"/>
              <w:right w:val="single" w:sz="8" w:space="0" w:color="000000"/>
            </w:tcBorders>
            <w:noWrap/>
            <w:vAlign w:val="bottom"/>
          </w:tcPr>
          <w:p w:rsidR="008747BD" w:rsidRPr="008747BD" w:rsidRDefault="008747BD" w:rsidP="008747BD">
            <w:pPr>
              <w:jc w:val="center"/>
              <w:rPr>
                <w:rFonts w:cs="Arial"/>
                <w:szCs w:val="22"/>
              </w:rPr>
            </w:pPr>
            <w:r w:rsidRPr="008747BD">
              <w:rPr>
                <w:rFonts w:cs="Arial"/>
                <w:szCs w:val="22"/>
              </w:rPr>
              <w:t>Valuation Bands</w:t>
            </w:r>
          </w:p>
        </w:tc>
      </w:tr>
      <w:tr w:rsidR="008747BD" w:rsidRPr="008747BD" w:rsidTr="00277F4B">
        <w:trPr>
          <w:trHeight w:val="310"/>
        </w:trPr>
        <w:tc>
          <w:tcPr>
            <w:tcW w:w="1059" w:type="dxa"/>
            <w:tcBorders>
              <w:top w:val="nil"/>
              <w:left w:val="single" w:sz="8" w:space="0" w:color="auto"/>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A</w:t>
            </w:r>
          </w:p>
        </w:tc>
        <w:tc>
          <w:tcPr>
            <w:tcW w:w="124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B</w:t>
            </w:r>
          </w:p>
        </w:tc>
        <w:tc>
          <w:tcPr>
            <w:tcW w:w="124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C</w:t>
            </w:r>
          </w:p>
        </w:tc>
        <w:tc>
          <w:tcPr>
            <w:tcW w:w="124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D</w:t>
            </w:r>
          </w:p>
        </w:tc>
        <w:tc>
          <w:tcPr>
            <w:tcW w:w="124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E</w:t>
            </w:r>
          </w:p>
        </w:tc>
        <w:tc>
          <w:tcPr>
            <w:tcW w:w="124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F</w:t>
            </w:r>
          </w:p>
        </w:tc>
        <w:tc>
          <w:tcPr>
            <w:tcW w:w="124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G</w:t>
            </w:r>
          </w:p>
        </w:tc>
        <w:tc>
          <w:tcPr>
            <w:tcW w:w="1245" w:type="dxa"/>
            <w:tcBorders>
              <w:top w:val="nil"/>
              <w:left w:val="nil"/>
              <w:bottom w:val="single" w:sz="4" w:space="0" w:color="auto"/>
              <w:right w:val="single" w:sz="8" w:space="0" w:color="auto"/>
            </w:tcBorders>
            <w:noWrap/>
            <w:vAlign w:val="bottom"/>
          </w:tcPr>
          <w:p w:rsidR="008747BD" w:rsidRPr="008747BD" w:rsidRDefault="008747BD" w:rsidP="008747BD">
            <w:pPr>
              <w:jc w:val="center"/>
              <w:rPr>
                <w:rFonts w:cs="Arial"/>
                <w:b/>
                <w:bCs/>
                <w:szCs w:val="22"/>
              </w:rPr>
            </w:pPr>
            <w:r w:rsidRPr="008747BD">
              <w:rPr>
                <w:rFonts w:cs="Arial"/>
                <w:b/>
                <w:bCs/>
                <w:szCs w:val="22"/>
              </w:rPr>
              <w:t>H</w:t>
            </w:r>
          </w:p>
        </w:tc>
      </w:tr>
      <w:tr w:rsidR="008747BD" w:rsidRPr="008747BD" w:rsidTr="00277F4B">
        <w:trPr>
          <w:trHeight w:val="310"/>
        </w:trPr>
        <w:tc>
          <w:tcPr>
            <w:tcW w:w="1059" w:type="dxa"/>
            <w:tcBorders>
              <w:top w:val="nil"/>
              <w:left w:val="single" w:sz="8" w:space="0" w:color="auto"/>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£134.30</w:t>
            </w:r>
          </w:p>
        </w:tc>
        <w:tc>
          <w:tcPr>
            <w:tcW w:w="124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£156.68</w:t>
            </w:r>
          </w:p>
        </w:tc>
        <w:tc>
          <w:tcPr>
            <w:tcW w:w="124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£179.07</w:t>
            </w:r>
          </w:p>
        </w:tc>
        <w:tc>
          <w:tcPr>
            <w:tcW w:w="124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£201.45</w:t>
            </w:r>
          </w:p>
        </w:tc>
        <w:tc>
          <w:tcPr>
            <w:tcW w:w="124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£246.22</w:t>
            </w:r>
          </w:p>
        </w:tc>
        <w:tc>
          <w:tcPr>
            <w:tcW w:w="124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£290.98</w:t>
            </w:r>
          </w:p>
        </w:tc>
        <w:tc>
          <w:tcPr>
            <w:tcW w:w="124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£335.75</w:t>
            </w:r>
          </w:p>
        </w:tc>
        <w:tc>
          <w:tcPr>
            <w:tcW w:w="1245" w:type="dxa"/>
            <w:tcBorders>
              <w:top w:val="nil"/>
              <w:left w:val="nil"/>
              <w:bottom w:val="single" w:sz="4" w:space="0" w:color="auto"/>
              <w:right w:val="single" w:sz="8"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£402.90</w:t>
            </w:r>
          </w:p>
        </w:tc>
      </w:tr>
    </w:tbl>
    <w:p w:rsidR="008747BD" w:rsidRPr="008747BD" w:rsidRDefault="008747BD" w:rsidP="008747BD">
      <w:pPr>
        <w:autoSpaceDE w:val="0"/>
        <w:autoSpaceDN w:val="0"/>
        <w:adjustRightInd w:val="0"/>
        <w:rPr>
          <w:rFonts w:cs="Arial"/>
          <w:color w:val="000000"/>
          <w:szCs w:val="22"/>
          <w:highlight w:val="yellow"/>
        </w:rPr>
      </w:pPr>
    </w:p>
    <w:p w:rsidR="008747BD" w:rsidRPr="008747BD" w:rsidRDefault="008747BD" w:rsidP="008747BD">
      <w:pPr>
        <w:autoSpaceDE w:val="0"/>
        <w:autoSpaceDN w:val="0"/>
        <w:adjustRightInd w:val="0"/>
        <w:rPr>
          <w:rFonts w:cs="Arial"/>
          <w:color w:val="000000"/>
          <w:szCs w:val="22"/>
          <w:highlight w:val="yellow"/>
        </w:rPr>
      </w:pPr>
    </w:p>
    <w:p w:rsidR="008747BD" w:rsidRPr="008747BD" w:rsidRDefault="008747BD" w:rsidP="008747BD">
      <w:pPr>
        <w:autoSpaceDE w:val="0"/>
        <w:autoSpaceDN w:val="0"/>
        <w:adjustRightInd w:val="0"/>
        <w:rPr>
          <w:rFonts w:cs="Arial"/>
          <w:b/>
          <w:color w:val="000000"/>
          <w:szCs w:val="22"/>
        </w:rPr>
      </w:pPr>
      <w:r w:rsidRPr="008747BD">
        <w:rPr>
          <w:rFonts w:cs="Arial"/>
          <w:b/>
          <w:color w:val="000000"/>
          <w:szCs w:val="22"/>
        </w:rPr>
        <w:t>Lancashire Combined Fire Authority</w:t>
      </w:r>
    </w:p>
    <w:p w:rsidR="008747BD" w:rsidRPr="008747BD" w:rsidRDefault="008747BD" w:rsidP="008747BD">
      <w:pPr>
        <w:autoSpaceDE w:val="0"/>
        <w:autoSpaceDN w:val="0"/>
        <w:adjustRightInd w:val="0"/>
        <w:rPr>
          <w:rFonts w:cs="Arial"/>
          <w:color w:val="000000"/>
          <w:sz w:val="12"/>
          <w:szCs w:val="12"/>
        </w:rPr>
      </w:pPr>
    </w:p>
    <w:tbl>
      <w:tblPr>
        <w:tblW w:w="9850" w:type="dxa"/>
        <w:tblInd w:w="406" w:type="dxa"/>
        <w:tblLook w:val="00A0" w:firstRow="1" w:lastRow="0" w:firstColumn="1" w:lastColumn="0" w:noHBand="0" w:noVBand="0"/>
      </w:tblPr>
      <w:tblGrid>
        <w:gridCol w:w="1180"/>
        <w:gridCol w:w="1180"/>
        <w:gridCol w:w="1180"/>
        <w:gridCol w:w="1180"/>
        <w:gridCol w:w="1180"/>
        <w:gridCol w:w="1180"/>
        <w:gridCol w:w="1385"/>
        <w:gridCol w:w="1385"/>
      </w:tblGrid>
      <w:tr w:rsidR="008747BD" w:rsidRPr="008747BD" w:rsidTr="00277F4B">
        <w:trPr>
          <w:trHeight w:val="316"/>
        </w:trPr>
        <w:tc>
          <w:tcPr>
            <w:tcW w:w="9850" w:type="dxa"/>
            <w:gridSpan w:val="8"/>
            <w:tcBorders>
              <w:top w:val="single" w:sz="8" w:space="0" w:color="auto"/>
              <w:left w:val="single" w:sz="8" w:space="0" w:color="auto"/>
              <w:bottom w:val="single" w:sz="4" w:space="0" w:color="auto"/>
              <w:right w:val="single" w:sz="8" w:space="0" w:color="000000"/>
            </w:tcBorders>
            <w:noWrap/>
            <w:vAlign w:val="bottom"/>
          </w:tcPr>
          <w:p w:rsidR="008747BD" w:rsidRPr="008747BD" w:rsidRDefault="008747BD" w:rsidP="008747BD">
            <w:pPr>
              <w:jc w:val="center"/>
              <w:rPr>
                <w:rFonts w:cs="Arial"/>
                <w:szCs w:val="22"/>
              </w:rPr>
            </w:pPr>
            <w:r w:rsidRPr="008747BD">
              <w:rPr>
                <w:rFonts w:cs="Arial"/>
                <w:szCs w:val="22"/>
              </w:rPr>
              <w:t>Valuation Bands</w:t>
            </w:r>
          </w:p>
        </w:tc>
      </w:tr>
      <w:tr w:rsidR="008747BD" w:rsidRPr="008747BD" w:rsidTr="00277F4B">
        <w:trPr>
          <w:trHeight w:val="316"/>
        </w:trPr>
        <w:tc>
          <w:tcPr>
            <w:tcW w:w="1180" w:type="dxa"/>
            <w:tcBorders>
              <w:top w:val="nil"/>
              <w:left w:val="single" w:sz="8" w:space="0" w:color="auto"/>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A</w:t>
            </w:r>
          </w:p>
        </w:tc>
        <w:tc>
          <w:tcPr>
            <w:tcW w:w="1180"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B</w:t>
            </w:r>
          </w:p>
        </w:tc>
        <w:tc>
          <w:tcPr>
            <w:tcW w:w="1180"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C</w:t>
            </w:r>
          </w:p>
        </w:tc>
        <w:tc>
          <w:tcPr>
            <w:tcW w:w="1180"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D</w:t>
            </w:r>
          </w:p>
        </w:tc>
        <w:tc>
          <w:tcPr>
            <w:tcW w:w="1180"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E</w:t>
            </w:r>
          </w:p>
        </w:tc>
        <w:tc>
          <w:tcPr>
            <w:tcW w:w="1180"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F</w:t>
            </w:r>
          </w:p>
        </w:tc>
        <w:tc>
          <w:tcPr>
            <w:tcW w:w="1385" w:type="dxa"/>
            <w:tcBorders>
              <w:top w:val="nil"/>
              <w:left w:val="nil"/>
              <w:bottom w:val="single" w:sz="4" w:space="0" w:color="auto"/>
              <w:right w:val="single" w:sz="4" w:space="0" w:color="auto"/>
            </w:tcBorders>
            <w:noWrap/>
            <w:vAlign w:val="bottom"/>
          </w:tcPr>
          <w:p w:rsidR="008747BD" w:rsidRPr="008747BD" w:rsidRDefault="008747BD" w:rsidP="008747BD">
            <w:pPr>
              <w:jc w:val="center"/>
              <w:rPr>
                <w:rFonts w:cs="Arial"/>
                <w:b/>
                <w:bCs/>
                <w:szCs w:val="22"/>
              </w:rPr>
            </w:pPr>
            <w:r w:rsidRPr="008747BD">
              <w:rPr>
                <w:rFonts w:cs="Arial"/>
                <w:b/>
                <w:bCs/>
                <w:szCs w:val="22"/>
              </w:rPr>
              <w:t>G</w:t>
            </w:r>
          </w:p>
        </w:tc>
        <w:tc>
          <w:tcPr>
            <w:tcW w:w="1385" w:type="dxa"/>
            <w:tcBorders>
              <w:top w:val="nil"/>
              <w:left w:val="nil"/>
              <w:bottom w:val="single" w:sz="4" w:space="0" w:color="auto"/>
              <w:right w:val="single" w:sz="8" w:space="0" w:color="auto"/>
            </w:tcBorders>
            <w:noWrap/>
            <w:vAlign w:val="bottom"/>
          </w:tcPr>
          <w:p w:rsidR="008747BD" w:rsidRPr="008747BD" w:rsidRDefault="008747BD" w:rsidP="008747BD">
            <w:pPr>
              <w:jc w:val="center"/>
              <w:rPr>
                <w:rFonts w:cs="Arial"/>
                <w:b/>
                <w:bCs/>
                <w:szCs w:val="22"/>
              </w:rPr>
            </w:pPr>
            <w:r w:rsidRPr="008747BD">
              <w:rPr>
                <w:rFonts w:cs="Arial"/>
                <w:b/>
                <w:bCs/>
                <w:szCs w:val="22"/>
              </w:rPr>
              <w:t>H</w:t>
            </w:r>
          </w:p>
        </w:tc>
      </w:tr>
      <w:tr w:rsidR="008747BD" w:rsidRPr="008747BD" w:rsidTr="00277F4B">
        <w:trPr>
          <w:trHeight w:val="316"/>
        </w:trPr>
        <w:tc>
          <w:tcPr>
            <w:tcW w:w="1180" w:type="dxa"/>
            <w:tcBorders>
              <w:top w:val="nil"/>
              <w:left w:val="single" w:sz="8" w:space="0" w:color="auto"/>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£46.32</w:t>
            </w:r>
          </w:p>
        </w:tc>
        <w:tc>
          <w:tcPr>
            <w:tcW w:w="1180"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£54.04</w:t>
            </w:r>
          </w:p>
        </w:tc>
        <w:tc>
          <w:tcPr>
            <w:tcW w:w="1180"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£61.76</w:t>
            </w:r>
          </w:p>
        </w:tc>
        <w:tc>
          <w:tcPr>
            <w:tcW w:w="1180"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£69.48</w:t>
            </w:r>
          </w:p>
        </w:tc>
        <w:tc>
          <w:tcPr>
            <w:tcW w:w="1180"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£84.92</w:t>
            </w:r>
          </w:p>
        </w:tc>
        <w:tc>
          <w:tcPr>
            <w:tcW w:w="1180"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£100.36</w:t>
            </w:r>
          </w:p>
        </w:tc>
        <w:tc>
          <w:tcPr>
            <w:tcW w:w="1385" w:type="dxa"/>
            <w:tcBorders>
              <w:top w:val="nil"/>
              <w:left w:val="nil"/>
              <w:bottom w:val="single" w:sz="4" w:space="0" w:color="auto"/>
              <w:right w:val="single" w:sz="4"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£115.80</w:t>
            </w:r>
          </w:p>
        </w:tc>
        <w:tc>
          <w:tcPr>
            <w:tcW w:w="1385" w:type="dxa"/>
            <w:tcBorders>
              <w:top w:val="nil"/>
              <w:left w:val="nil"/>
              <w:bottom w:val="single" w:sz="4" w:space="0" w:color="auto"/>
              <w:right w:val="single" w:sz="8" w:space="0" w:color="auto"/>
            </w:tcBorders>
            <w:shd w:val="clear" w:color="auto" w:fill="auto"/>
            <w:noWrap/>
            <w:vAlign w:val="bottom"/>
          </w:tcPr>
          <w:p w:rsidR="008747BD" w:rsidRPr="008747BD" w:rsidRDefault="008747BD" w:rsidP="008747BD">
            <w:pPr>
              <w:jc w:val="center"/>
              <w:rPr>
                <w:rFonts w:cs="Arial"/>
                <w:bCs/>
                <w:szCs w:val="22"/>
              </w:rPr>
            </w:pPr>
            <w:r w:rsidRPr="008747BD">
              <w:rPr>
                <w:rFonts w:cs="Arial"/>
                <w:bCs/>
                <w:szCs w:val="22"/>
              </w:rPr>
              <w:t>£138.96</w:t>
            </w:r>
          </w:p>
        </w:tc>
      </w:tr>
    </w:tbl>
    <w:p w:rsidR="008747BD" w:rsidRPr="008747BD" w:rsidRDefault="008747BD" w:rsidP="008747BD">
      <w:pPr>
        <w:autoSpaceDE w:val="0"/>
        <w:autoSpaceDN w:val="0"/>
        <w:adjustRightInd w:val="0"/>
        <w:rPr>
          <w:rFonts w:cs="Arial"/>
          <w:color w:val="000000"/>
          <w:szCs w:val="22"/>
        </w:rPr>
      </w:pPr>
    </w:p>
    <w:p w:rsidR="008747BD" w:rsidRPr="008747BD" w:rsidRDefault="008747BD" w:rsidP="008747BD">
      <w:pPr>
        <w:contextualSpacing/>
        <w:rPr>
          <w:rFonts w:cs="Arial"/>
          <w:szCs w:val="22"/>
        </w:rPr>
      </w:pPr>
    </w:p>
    <w:p w:rsidR="008747BD" w:rsidRPr="008747BD" w:rsidRDefault="008747BD" w:rsidP="008747BD">
      <w:pPr>
        <w:numPr>
          <w:ilvl w:val="0"/>
          <w:numId w:val="14"/>
        </w:numPr>
        <w:ind w:left="0" w:hanging="284"/>
        <w:jc w:val="both"/>
        <w:rPr>
          <w:rFonts w:cs="Arial"/>
          <w:szCs w:val="22"/>
        </w:rPr>
      </w:pPr>
      <w:r w:rsidRPr="008747BD">
        <w:rPr>
          <w:rFonts w:ascii="Helvetica" w:hAnsi="Helvetica" w:cs="Helvetica"/>
          <w:szCs w:val="22"/>
          <w:lang w:eastAsia="en-US"/>
        </w:rPr>
        <w:t>In accordance with Section 59A of South Ribble Borough Council’s Council Tax Support Scheme and the decision taken by C</w:t>
      </w:r>
      <w:r w:rsidR="00366D1E" w:rsidRPr="00366D1E">
        <w:rPr>
          <w:rFonts w:ascii="Helvetica" w:hAnsi="Helvetica" w:cs="Helvetica"/>
          <w:szCs w:val="22"/>
          <w:lang w:eastAsia="en-US"/>
        </w:rPr>
        <w:t xml:space="preserve">ouncil </w:t>
      </w:r>
      <w:r w:rsidRPr="008747BD">
        <w:rPr>
          <w:rFonts w:ascii="Helvetica" w:hAnsi="Helvetica" w:cs="Helvetica"/>
          <w:szCs w:val="22"/>
          <w:lang w:eastAsia="en-US"/>
        </w:rPr>
        <w:t>on 6</w:t>
      </w:r>
      <w:r w:rsidRPr="008747BD">
        <w:rPr>
          <w:rFonts w:ascii="Helvetica" w:hAnsi="Helvetica" w:cs="Helvetica"/>
          <w:szCs w:val="22"/>
          <w:vertAlign w:val="superscript"/>
          <w:lang w:eastAsia="en-US"/>
        </w:rPr>
        <w:t>th</w:t>
      </w:r>
      <w:r w:rsidRPr="008747BD">
        <w:rPr>
          <w:rFonts w:ascii="Helvetica" w:hAnsi="Helvetica" w:cs="Helvetica"/>
          <w:szCs w:val="22"/>
          <w:lang w:eastAsia="en-US"/>
        </w:rPr>
        <w:t xml:space="preserve"> </w:t>
      </w:r>
      <w:r w:rsidR="00366D1E" w:rsidRPr="00366D1E">
        <w:rPr>
          <w:rFonts w:ascii="Helvetica" w:hAnsi="Helvetica" w:cs="Helvetica"/>
          <w:szCs w:val="22"/>
          <w:lang w:eastAsia="en-US"/>
        </w:rPr>
        <w:t xml:space="preserve">February </w:t>
      </w:r>
      <w:r w:rsidRPr="008747BD">
        <w:rPr>
          <w:rFonts w:ascii="Helvetica" w:hAnsi="Helvetica" w:cs="Helvetica"/>
          <w:szCs w:val="22"/>
          <w:lang w:eastAsia="en-US"/>
        </w:rPr>
        <w:t>201</w:t>
      </w:r>
      <w:r w:rsidR="00366D1E" w:rsidRPr="00366D1E">
        <w:rPr>
          <w:rFonts w:ascii="Helvetica" w:hAnsi="Helvetica" w:cs="Helvetica"/>
          <w:szCs w:val="22"/>
          <w:lang w:eastAsia="en-US"/>
        </w:rPr>
        <w:t>9</w:t>
      </w:r>
      <w:r w:rsidRPr="008747BD">
        <w:rPr>
          <w:rFonts w:ascii="Helvetica" w:hAnsi="Helvetica" w:cs="Helvetica"/>
          <w:szCs w:val="22"/>
          <w:lang w:eastAsia="en-US"/>
        </w:rPr>
        <w:t xml:space="preserve"> that the weekly deduction should be between £3.00 and £5.00 per week, that Council determine the reduction in Council Tax Support applicable to working age claimants with effect from the 1</w:t>
      </w:r>
      <w:r w:rsidRPr="008747BD">
        <w:rPr>
          <w:rFonts w:ascii="Helvetica" w:hAnsi="Helvetica" w:cs="Helvetica"/>
          <w:szCs w:val="22"/>
          <w:vertAlign w:val="superscript"/>
          <w:lang w:eastAsia="en-US"/>
        </w:rPr>
        <w:t>st</w:t>
      </w:r>
      <w:r w:rsidRPr="008747BD">
        <w:rPr>
          <w:rFonts w:ascii="Helvetica" w:hAnsi="Helvetica" w:cs="Helvetica"/>
          <w:szCs w:val="22"/>
          <w:lang w:eastAsia="en-US"/>
        </w:rPr>
        <w:t xml:space="preserve"> April 2019 as being £3.50 </w:t>
      </w:r>
      <w:r w:rsidR="005A1AC8">
        <w:rPr>
          <w:rFonts w:ascii="Helvetica" w:hAnsi="Helvetica" w:cs="Helvetica"/>
          <w:szCs w:val="22"/>
          <w:lang w:eastAsia="en-US"/>
        </w:rPr>
        <w:t xml:space="preserve">plus RPI </w:t>
      </w:r>
      <w:r w:rsidRPr="008747BD">
        <w:rPr>
          <w:rFonts w:ascii="Helvetica" w:hAnsi="Helvetica" w:cs="Helvetica"/>
          <w:szCs w:val="22"/>
          <w:lang w:eastAsia="en-US"/>
        </w:rPr>
        <w:t>per week.</w:t>
      </w:r>
    </w:p>
    <w:p w:rsidR="008747BD" w:rsidRPr="008747BD" w:rsidRDefault="008747BD" w:rsidP="008747BD">
      <w:pPr>
        <w:autoSpaceDE w:val="0"/>
        <w:autoSpaceDN w:val="0"/>
        <w:adjustRightInd w:val="0"/>
        <w:rPr>
          <w:rFonts w:cs="Arial"/>
          <w:color w:val="000000"/>
          <w:sz w:val="24"/>
          <w:szCs w:val="24"/>
        </w:rPr>
      </w:pPr>
    </w:p>
    <w:p w:rsidR="008747BD" w:rsidRDefault="008747BD" w:rsidP="008747BD">
      <w:pPr>
        <w:numPr>
          <w:ilvl w:val="0"/>
          <w:numId w:val="14"/>
        </w:numPr>
        <w:ind w:left="0" w:hanging="284"/>
        <w:jc w:val="both"/>
        <w:rPr>
          <w:rFonts w:ascii="Helvetica" w:hAnsi="Helvetica" w:cs="Helvetica"/>
          <w:szCs w:val="22"/>
          <w:lang w:eastAsia="en-US"/>
        </w:rPr>
      </w:pPr>
      <w:r w:rsidRPr="008747BD">
        <w:rPr>
          <w:rFonts w:ascii="Helvetica" w:hAnsi="Helvetica" w:cs="Helvetica"/>
          <w:szCs w:val="22"/>
          <w:lang w:eastAsia="en-US"/>
        </w:rPr>
        <w:t>South Ribble Borough Council’s basic amount of Council Tax for 2019/20 is not excessive in accordance with principles approved under Section 52ZB Lo</w:t>
      </w:r>
      <w:r w:rsidR="007E7F34">
        <w:rPr>
          <w:rFonts w:ascii="Helvetica" w:hAnsi="Helvetica" w:cs="Helvetica"/>
          <w:szCs w:val="22"/>
          <w:lang w:eastAsia="en-US"/>
        </w:rPr>
        <w:t>cal Government Finance Act 1992</w:t>
      </w:r>
    </w:p>
    <w:p w:rsidR="00B9436D" w:rsidRDefault="00B9436D">
      <w:pPr>
        <w:rPr>
          <w:rFonts w:ascii="Helvetica" w:hAnsi="Helvetica" w:cs="Helvetica"/>
          <w:szCs w:val="22"/>
          <w:lang w:eastAsia="en-US"/>
        </w:rPr>
        <w:sectPr w:rsidR="00B9436D" w:rsidSect="00167713">
          <w:footerReference w:type="even" r:id="rId8"/>
          <w:footerReference w:type="default" r:id="rId9"/>
          <w:type w:val="continuous"/>
          <w:pgSz w:w="11906" w:h="16838" w:code="9"/>
          <w:pgMar w:top="1134" w:right="1134" w:bottom="567" w:left="851" w:header="720" w:footer="453" w:gutter="0"/>
          <w:cols w:space="720"/>
          <w:docGrid w:linePitch="299"/>
        </w:sectPr>
      </w:pPr>
    </w:p>
    <w:p w:rsidR="00EA050F" w:rsidRDefault="00EA050F">
      <w:pPr>
        <w:rPr>
          <w:rFonts w:ascii="Helvetica" w:hAnsi="Helvetica" w:cs="Helvetica"/>
          <w:szCs w:val="22"/>
          <w:lang w:eastAsia="en-US"/>
        </w:rPr>
      </w:pPr>
    </w:p>
    <w:p w:rsidR="00EA050F" w:rsidRDefault="00EA050F" w:rsidP="00EA050F">
      <w:pPr>
        <w:jc w:val="right"/>
        <w:rPr>
          <w:b/>
          <w:bCs/>
        </w:rPr>
      </w:pPr>
      <w:r w:rsidRPr="00540541">
        <w:rPr>
          <w:b/>
          <w:bCs/>
        </w:rPr>
        <w:t>APPENDIX</w:t>
      </w:r>
      <w:r>
        <w:rPr>
          <w:b/>
          <w:bCs/>
        </w:rPr>
        <w:t xml:space="preserve"> B</w:t>
      </w:r>
    </w:p>
    <w:p w:rsidR="00EA050F" w:rsidRDefault="00EA050F" w:rsidP="00EA050F">
      <w:pPr>
        <w:rPr>
          <w:bCs/>
        </w:rPr>
      </w:pPr>
    </w:p>
    <w:tbl>
      <w:tblPr>
        <w:tblW w:w="14763" w:type="dxa"/>
        <w:tblInd w:w="113" w:type="dxa"/>
        <w:tblLook w:val="04A0" w:firstRow="1" w:lastRow="0" w:firstColumn="1" w:lastColumn="0" w:noHBand="0" w:noVBand="1"/>
      </w:tblPr>
      <w:tblGrid>
        <w:gridCol w:w="4736"/>
        <w:gridCol w:w="1253"/>
        <w:gridCol w:w="1253"/>
        <w:gridCol w:w="1253"/>
        <w:gridCol w:w="1253"/>
        <w:gridCol w:w="1253"/>
        <w:gridCol w:w="1253"/>
        <w:gridCol w:w="1253"/>
        <w:gridCol w:w="1256"/>
      </w:tblGrid>
      <w:tr w:rsidR="00EA050F" w:rsidRPr="000C2236" w:rsidTr="00277F4B">
        <w:trPr>
          <w:trHeight w:val="244"/>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Council Tax Schedule</w:t>
            </w:r>
          </w:p>
        </w:tc>
        <w:tc>
          <w:tcPr>
            <w:tcW w:w="10027" w:type="dxa"/>
            <w:gridSpan w:val="8"/>
            <w:tcBorders>
              <w:top w:val="single" w:sz="4" w:space="0" w:color="auto"/>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Bands</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2019/20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A</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B</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D</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E</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F</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G</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center"/>
              <w:rPr>
                <w:b/>
                <w:bCs/>
                <w:color w:val="000000"/>
                <w:sz w:val="18"/>
                <w:szCs w:val="18"/>
              </w:rPr>
            </w:pPr>
            <w:r w:rsidRPr="000C2236">
              <w:rPr>
                <w:b/>
                <w:bCs/>
                <w:color w:val="000000"/>
                <w:sz w:val="18"/>
                <w:szCs w:val="18"/>
              </w:rPr>
              <w:t>H</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South Ribble Borough Council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£145.92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£170.24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£194.56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£218.88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£267.52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£316.16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£364.80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£437.76</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Lancashire County Council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£897.73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£1,047.35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£1,196.97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£1,346.59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£1,645.83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£1,945.07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£2,244.32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£2,693.18</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Lancashire Police Authority</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£134.30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£156.68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£179.07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£201.45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£246.22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£290.98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£335.75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£402.90</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Lancashire Combined Fire Authority</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£46.32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£54.04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£61.76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£69.48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£84.92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£100.36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£115.80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£138.96</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Total Unparished Areas</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£1,224.27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£1,428.31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£1,632.36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£1,836.40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£2,244.49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£2,652.57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£3,060.67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£3,672.80</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Farington</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£14.51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£16.93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£19.35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£21.77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£26.61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£31.45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£36.28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£43.54</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Farington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£160.43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£187.17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£213.91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£240.65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£294.13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£347.61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£401.08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£481.30</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Farington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£1,238.78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£1,445.24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£1,651.71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£1,858.17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£2,271.10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£2,684.02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£3,096.95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£3,716.34</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Hutton</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£16.10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£18.78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£21.47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£24.15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£29.52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£34.88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£40.25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£48.30</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Hutton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£162.02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£189.02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£216.03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£243.03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£297.04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£351.04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£405.05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£486.06</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Hutton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£1,240.37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£1,447.09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£1,653.83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£1,860.55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£2,274.01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£2,687.45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£3,100.92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£3,721.10</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Little Hoole</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£15.05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£17.55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£20.06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£22.57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£27.59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£32.60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£37.62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£45.14</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Little Hoole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£160.97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£187.79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£214.62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£241.45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£295.11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£348.76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£402.42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£482.90</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Little Hoole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£1,239.32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£1,445.86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£1,652.42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£1,858.97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£2,272.08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£2,685.17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£3,098.29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£3,717.94</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Longton</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£18.57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£21.66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£24.76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£27.85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£34.04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£40.23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£46.42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£55.70</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Longton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£164.49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£191.90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£219.32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£246.73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£301.56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£356.39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£411.22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£493.46</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Longton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£1,242.84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£1,449.97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£1,657.12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£1,864.25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£2,278.53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£2,692.80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£3,107.09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£3,728.50</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Much Hoole</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£7.94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£9.26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£10.59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£11.91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£14.56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£17.20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£19.85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£23.82</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Much Hoole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£153.86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£179.50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£205.15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£230.79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£282.08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£333.36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£384.65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£461.58</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Much Hoole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£1,232.21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£1,437.57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£1,642.95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£1,848.31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£2,259.05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£2,669.77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£3,080.52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£3,696.62</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Penwortham</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£24.79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£28.92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£33.05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£37.18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£45.44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£53.70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£61.97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£74.36</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Penwortham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£170.71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£199.16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£227.61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£256.06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£312.96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£369.86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£426.77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£512.12</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Penwortham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£1,249.06</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£1,457.23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£1,665.41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£1,873.58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£2,289.93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£2,706.27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£3,122.64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£3,747.16</w:t>
            </w:r>
          </w:p>
        </w:tc>
      </w:tr>
      <w:tr w:rsidR="00EA050F" w:rsidRPr="000C2236" w:rsidTr="00277F4B">
        <w:trPr>
          <w:trHeight w:val="122"/>
        </w:trPr>
        <w:tc>
          <w:tcPr>
            <w:tcW w:w="4736" w:type="dxa"/>
            <w:tcBorders>
              <w:top w:val="nil"/>
              <w:left w:val="nil"/>
              <w:bottom w:val="single" w:sz="4" w:space="0" w:color="auto"/>
              <w:right w:val="nil"/>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c>
          <w:tcPr>
            <w:tcW w:w="1253" w:type="dxa"/>
            <w:tcBorders>
              <w:top w:val="nil"/>
              <w:left w:val="nil"/>
              <w:bottom w:val="single" w:sz="4" w:space="0" w:color="auto"/>
              <w:right w:val="nil"/>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 </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Samlesbury and Cuerdale</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£10.60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£12.37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£14.13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£15.90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£19.43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£22.97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£26.50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£31.80</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color w:val="000000"/>
                <w:sz w:val="18"/>
                <w:szCs w:val="18"/>
              </w:rPr>
            </w:pPr>
            <w:r w:rsidRPr="000C2236">
              <w:rPr>
                <w:color w:val="000000"/>
                <w:sz w:val="18"/>
                <w:szCs w:val="18"/>
              </w:rPr>
              <w:t>Samlesbury and Cuerdale and South Ribble BC</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£156.52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£182.61</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£208.69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£234.78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£286.95</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£339.13</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£391.30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color w:val="000000"/>
                <w:sz w:val="18"/>
                <w:szCs w:val="18"/>
              </w:rPr>
            </w:pPr>
            <w:r w:rsidRPr="000C2236">
              <w:rPr>
                <w:color w:val="000000"/>
                <w:sz w:val="18"/>
                <w:szCs w:val="18"/>
              </w:rPr>
              <w:t>£469.56</w:t>
            </w:r>
          </w:p>
        </w:tc>
      </w:tr>
      <w:tr w:rsidR="00EA050F" w:rsidRPr="000C2236" w:rsidTr="00277F4B">
        <w:trPr>
          <w:trHeight w:val="244"/>
        </w:trPr>
        <w:tc>
          <w:tcPr>
            <w:tcW w:w="4736" w:type="dxa"/>
            <w:tcBorders>
              <w:top w:val="nil"/>
              <w:left w:val="single" w:sz="4" w:space="0" w:color="auto"/>
              <w:bottom w:val="single" w:sz="4" w:space="0" w:color="auto"/>
              <w:right w:val="single" w:sz="4" w:space="0" w:color="auto"/>
            </w:tcBorders>
            <w:shd w:val="clear" w:color="auto" w:fill="auto"/>
            <w:noWrap/>
            <w:vAlign w:val="center"/>
            <w:hideMark/>
          </w:tcPr>
          <w:p w:rsidR="00EA050F" w:rsidRPr="000C2236" w:rsidRDefault="00EA050F" w:rsidP="00277F4B">
            <w:pPr>
              <w:rPr>
                <w:b/>
                <w:bCs/>
                <w:color w:val="000000"/>
                <w:sz w:val="18"/>
                <w:szCs w:val="18"/>
              </w:rPr>
            </w:pPr>
            <w:r w:rsidRPr="000C2236">
              <w:rPr>
                <w:b/>
                <w:bCs/>
                <w:color w:val="000000"/>
                <w:sz w:val="18"/>
                <w:szCs w:val="18"/>
              </w:rPr>
              <w:t>Samlesbury and Cuerdale Total</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£1,234.87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£1,440.68</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£1,646.49</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£1,852.30</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£2,263.92</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£2,675.54</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£3,087.17</w:t>
            </w:r>
          </w:p>
        </w:tc>
        <w:tc>
          <w:tcPr>
            <w:tcW w:w="1253" w:type="dxa"/>
            <w:tcBorders>
              <w:top w:val="nil"/>
              <w:left w:val="nil"/>
              <w:bottom w:val="single" w:sz="4" w:space="0" w:color="auto"/>
              <w:right w:val="single" w:sz="4" w:space="0" w:color="auto"/>
            </w:tcBorders>
            <w:shd w:val="clear" w:color="auto" w:fill="auto"/>
            <w:noWrap/>
            <w:vAlign w:val="center"/>
            <w:hideMark/>
          </w:tcPr>
          <w:p w:rsidR="00EA050F" w:rsidRPr="000C2236" w:rsidRDefault="00EA050F" w:rsidP="00277F4B">
            <w:pPr>
              <w:jc w:val="right"/>
              <w:rPr>
                <w:b/>
                <w:bCs/>
                <w:color w:val="000000"/>
                <w:sz w:val="18"/>
                <w:szCs w:val="18"/>
              </w:rPr>
            </w:pPr>
            <w:r w:rsidRPr="000C2236">
              <w:rPr>
                <w:b/>
                <w:bCs/>
                <w:color w:val="000000"/>
                <w:sz w:val="18"/>
                <w:szCs w:val="18"/>
              </w:rPr>
              <w:t>£3,704.60</w:t>
            </w:r>
          </w:p>
        </w:tc>
      </w:tr>
    </w:tbl>
    <w:p w:rsidR="00EA050F" w:rsidRDefault="00EA050F" w:rsidP="00EA050F">
      <w:pPr>
        <w:rPr>
          <w:bCs/>
        </w:rPr>
      </w:pPr>
    </w:p>
    <w:p w:rsidR="00EA050F" w:rsidRPr="00E4456A" w:rsidRDefault="00EA050F" w:rsidP="00EA050F">
      <w:pPr>
        <w:jc w:val="right"/>
        <w:rPr>
          <w:b/>
          <w:bCs/>
        </w:rPr>
      </w:pPr>
      <w:r>
        <w:br w:type="page"/>
      </w:r>
      <w:r w:rsidRPr="00E4456A">
        <w:rPr>
          <w:b/>
          <w:bCs/>
        </w:rPr>
        <w:lastRenderedPageBreak/>
        <w:t>A</w:t>
      </w:r>
      <w:r>
        <w:rPr>
          <w:b/>
          <w:bCs/>
        </w:rPr>
        <w:t>PPENDIX</w:t>
      </w:r>
      <w:r w:rsidRPr="00E4456A">
        <w:rPr>
          <w:b/>
          <w:bCs/>
        </w:rPr>
        <w:t xml:space="preserve"> </w:t>
      </w:r>
      <w:r>
        <w:rPr>
          <w:b/>
          <w:bCs/>
        </w:rPr>
        <w:t>C</w:t>
      </w:r>
    </w:p>
    <w:p w:rsidR="00EA050F" w:rsidRDefault="00EA050F" w:rsidP="00EA050F">
      <w:pPr>
        <w:pStyle w:val="DefaultText"/>
        <w:ind w:hanging="709"/>
        <w:rPr>
          <w:sz w:val="22"/>
          <w:szCs w:val="22"/>
        </w:rPr>
      </w:pPr>
    </w:p>
    <w:p w:rsidR="00EA050F" w:rsidRDefault="00EA050F" w:rsidP="00EA050F">
      <w:pPr>
        <w:pStyle w:val="DefaultText"/>
        <w:ind w:hanging="709"/>
        <w:rPr>
          <w:sz w:val="22"/>
          <w:szCs w:val="22"/>
        </w:rPr>
      </w:pPr>
    </w:p>
    <w:p w:rsidR="00EA050F" w:rsidRPr="00B47029" w:rsidRDefault="00EA050F" w:rsidP="00EA050F">
      <w:pPr>
        <w:pStyle w:val="DefaultText"/>
        <w:ind w:hanging="709"/>
        <w:jc w:val="center"/>
        <w:rPr>
          <w:b/>
          <w:bCs/>
          <w:u w:val="single"/>
        </w:rPr>
      </w:pPr>
      <w:r w:rsidRPr="00B47029">
        <w:rPr>
          <w:b/>
          <w:bCs/>
          <w:u w:val="single"/>
        </w:rPr>
        <w:t>Parish Precepts</w:t>
      </w:r>
    </w:p>
    <w:p w:rsidR="00EA050F" w:rsidRDefault="00EA050F" w:rsidP="00EA050F">
      <w:pPr>
        <w:pStyle w:val="DefaultText"/>
        <w:ind w:hanging="709"/>
        <w:jc w:val="center"/>
        <w:rPr>
          <w:b/>
          <w:bCs/>
        </w:rPr>
      </w:pPr>
    </w:p>
    <w:p w:rsidR="00EA050F" w:rsidRDefault="00EA050F" w:rsidP="00EA050F">
      <w:pPr>
        <w:pStyle w:val="DefaultText"/>
        <w:rPr>
          <w:sz w:val="22"/>
          <w:szCs w:val="22"/>
        </w:rPr>
      </w:pPr>
    </w:p>
    <w:tbl>
      <w:tblPr>
        <w:tblW w:w="13482" w:type="dxa"/>
        <w:tblInd w:w="819" w:type="dxa"/>
        <w:tblLook w:val="04A0" w:firstRow="1" w:lastRow="0" w:firstColumn="1" w:lastColumn="0" w:noHBand="0" w:noVBand="1"/>
      </w:tblPr>
      <w:tblGrid>
        <w:gridCol w:w="2669"/>
        <w:gridCol w:w="1287"/>
        <w:gridCol w:w="2441"/>
        <w:gridCol w:w="1571"/>
        <w:gridCol w:w="1379"/>
        <w:gridCol w:w="2220"/>
        <w:gridCol w:w="1915"/>
      </w:tblGrid>
      <w:tr w:rsidR="00EA050F" w:rsidRPr="00273C37" w:rsidTr="00277F4B">
        <w:trPr>
          <w:trHeight w:val="580"/>
        </w:trPr>
        <w:tc>
          <w:tcPr>
            <w:tcW w:w="2669" w:type="dxa"/>
            <w:tcBorders>
              <w:top w:val="single" w:sz="8" w:space="0" w:color="auto"/>
              <w:left w:val="single" w:sz="8" w:space="0" w:color="auto"/>
              <w:bottom w:val="nil"/>
              <w:right w:val="single" w:sz="8" w:space="0" w:color="auto"/>
            </w:tcBorders>
            <w:shd w:val="clear" w:color="000000" w:fill="E0E0E0"/>
            <w:noWrap/>
            <w:vAlign w:val="center"/>
            <w:hideMark/>
          </w:tcPr>
          <w:p w:rsidR="00EA050F" w:rsidRPr="00273C37" w:rsidRDefault="00EA050F" w:rsidP="00277F4B">
            <w:pPr>
              <w:jc w:val="right"/>
              <w:rPr>
                <w:b/>
                <w:bCs/>
                <w:color w:val="FF0000"/>
                <w:sz w:val="20"/>
              </w:rPr>
            </w:pPr>
            <w:r w:rsidRPr="00273C37">
              <w:rPr>
                <w:b/>
                <w:bCs/>
                <w:color w:val="FF0000"/>
                <w:sz w:val="20"/>
              </w:rPr>
              <w:t> </w:t>
            </w:r>
          </w:p>
        </w:tc>
        <w:tc>
          <w:tcPr>
            <w:tcW w:w="5299" w:type="dxa"/>
            <w:gridSpan w:val="3"/>
            <w:tcBorders>
              <w:top w:val="single" w:sz="8" w:space="0" w:color="auto"/>
              <w:left w:val="nil"/>
              <w:bottom w:val="single" w:sz="8" w:space="0" w:color="auto"/>
              <w:right w:val="single" w:sz="8" w:space="0" w:color="000000"/>
            </w:tcBorders>
            <w:shd w:val="clear" w:color="000000" w:fill="E0E0E0"/>
            <w:vAlign w:val="center"/>
            <w:hideMark/>
          </w:tcPr>
          <w:p w:rsidR="00EA050F" w:rsidRPr="00273C37" w:rsidRDefault="00EA050F" w:rsidP="00277F4B">
            <w:pPr>
              <w:jc w:val="center"/>
              <w:rPr>
                <w:b/>
                <w:bCs/>
                <w:color w:val="000000"/>
                <w:sz w:val="20"/>
              </w:rPr>
            </w:pPr>
            <w:r>
              <w:rPr>
                <w:b/>
                <w:bCs/>
                <w:color w:val="000000"/>
                <w:sz w:val="20"/>
              </w:rPr>
              <w:t>2018/19</w:t>
            </w:r>
          </w:p>
        </w:tc>
        <w:tc>
          <w:tcPr>
            <w:tcW w:w="5514" w:type="dxa"/>
            <w:gridSpan w:val="3"/>
            <w:tcBorders>
              <w:top w:val="single" w:sz="8" w:space="0" w:color="auto"/>
              <w:left w:val="nil"/>
              <w:bottom w:val="single" w:sz="8" w:space="0" w:color="auto"/>
              <w:right w:val="single" w:sz="8" w:space="0" w:color="000000"/>
            </w:tcBorders>
            <w:shd w:val="clear" w:color="000000" w:fill="E0E0E0"/>
            <w:vAlign w:val="center"/>
            <w:hideMark/>
          </w:tcPr>
          <w:p w:rsidR="00EA050F" w:rsidRPr="00273C37" w:rsidRDefault="00EA050F" w:rsidP="00277F4B">
            <w:pPr>
              <w:jc w:val="center"/>
              <w:rPr>
                <w:b/>
                <w:bCs/>
                <w:color w:val="000000"/>
                <w:sz w:val="20"/>
              </w:rPr>
            </w:pPr>
            <w:r>
              <w:rPr>
                <w:b/>
                <w:bCs/>
                <w:color w:val="000000"/>
                <w:sz w:val="20"/>
              </w:rPr>
              <w:t>2019/20</w:t>
            </w:r>
          </w:p>
        </w:tc>
      </w:tr>
      <w:tr w:rsidR="00EA050F" w:rsidRPr="00273C37" w:rsidTr="00277F4B">
        <w:trPr>
          <w:trHeight w:val="580"/>
        </w:trPr>
        <w:tc>
          <w:tcPr>
            <w:tcW w:w="2669" w:type="dxa"/>
            <w:vMerge w:val="restart"/>
            <w:tcBorders>
              <w:top w:val="nil"/>
              <w:left w:val="single" w:sz="8" w:space="0" w:color="auto"/>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Parish/ Town Council</w:t>
            </w:r>
          </w:p>
        </w:tc>
        <w:tc>
          <w:tcPr>
            <w:tcW w:w="1287" w:type="dxa"/>
            <w:vMerge w:val="restart"/>
            <w:tcBorders>
              <w:top w:val="nil"/>
              <w:left w:val="single" w:sz="8" w:space="0" w:color="auto"/>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Precept </w:t>
            </w:r>
          </w:p>
        </w:tc>
        <w:tc>
          <w:tcPr>
            <w:tcW w:w="2441"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Tax Base</w:t>
            </w:r>
            <w:r w:rsidRPr="00273C37">
              <w:rPr>
                <w:color w:val="000000"/>
                <w:sz w:val="20"/>
              </w:rPr>
              <w:t xml:space="preserve"> </w:t>
            </w:r>
            <w:r w:rsidRPr="00273C37">
              <w:rPr>
                <w:b/>
                <w:bCs/>
                <w:color w:val="000000"/>
                <w:sz w:val="20"/>
              </w:rPr>
              <w:t>Band D</w:t>
            </w:r>
          </w:p>
        </w:tc>
        <w:tc>
          <w:tcPr>
            <w:tcW w:w="1571" w:type="dxa"/>
            <w:vMerge w:val="restart"/>
            <w:tcBorders>
              <w:top w:val="nil"/>
              <w:left w:val="single" w:sz="8" w:space="0" w:color="auto"/>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rFonts w:eastAsia="Calibri"/>
                <w:b/>
                <w:bCs/>
                <w:color w:val="000000"/>
                <w:sz w:val="20"/>
                <w:lang w:eastAsia="en-US"/>
              </w:rPr>
              <w:t>Band D Equivalent</w:t>
            </w:r>
          </w:p>
        </w:tc>
        <w:tc>
          <w:tcPr>
            <w:tcW w:w="1379"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p>
        </w:tc>
        <w:tc>
          <w:tcPr>
            <w:tcW w:w="2220"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Tax Base</w:t>
            </w:r>
            <w:r w:rsidRPr="00273C37">
              <w:rPr>
                <w:color w:val="000000"/>
                <w:sz w:val="20"/>
              </w:rPr>
              <w:t xml:space="preserve"> </w:t>
            </w:r>
            <w:r w:rsidRPr="00273C37">
              <w:rPr>
                <w:b/>
                <w:bCs/>
                <w:color w:val="000000"/>
                <w:sz w:val="20"/>
              </w:rPr>
              <w:t>Band D</w:t>
            </w:r>
          </w:p>
        </w:tc>
        <w:tc>
          <w:tcPr>
            <w:tcW w:w="1915" w:type="dxa"/>
            <w:vMerge w:val="restart"/>
            <w:tcBorders>
              <w:top w:val="nil"/>
              <w:left w:val="single" w:sz="8" w:space="0" w:color="auto"/>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rFonts w:eastAsia="Calibri"/>
                <w:b/>
                <w:bCs/>
                <w:color w:val="000000"/>
                <w:sz w:val="20"/>
                <w:lang w:eastAsia="en-US"/>
              </w:rPr>
              <w:t>Band D Equivalent</w:t>
            </w:r>
          </w:p>
        </w:tc>
      </w:tr>
      <w:tr w:rsidR="00EA050F" w:rsidRPr="00273C37" w:rsidTr="00277F4B">
        <w:trPr>
          <w:trHeight w:val="341"/>
        </w:trPr>
        <w:tc>
          <w:tcPr>
            <w:tcW w:w="2669"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c>
          <w:tcPr>
            <w:tcW w:w="1287"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c>
          <w:tcPr>
            <w:tcW w:w="2441"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Equivalent</w:t>
            </w:r>
          </w:p>
        </w:tc>
        <w:tc>
          <w:tcPr>
            <w:tcW w:w="1571"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c>
          <w:tcPr>
            <w:tcW w:w="1379"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Precept </w:t>
            </w:r>
          </w:p>
        </w:tc>
        <w:tc>
          <w:tcPr>
            <w:tcW w:w="2220"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Equivalent</w:t>
            </w:r>
          </w:p>
        </w:tc>
        <w:tc>
          <w:tcPr>
            <w:tcW w:w="1915"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r>
      <w:tr w:rsidR="00EA050F" w:rsidRPr="00273C37" w:rsidTr="00277F4B">
        <w:trPr>
          <w:trHeight w:val="341"/>
        </w:trPr>
        <w:tc>
          <w:tcPr>
            <w:tcW w:w="2669"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c>
          <w:tcPr>
            <w:tcW w:w="1287"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c>
          <w:tcPr>
            <w:tcW w:w="2441"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Properties</w:t>
            </w:r>
          </w:p>
        </w:tc>
        <w:tc>
          <w:tcPr>
            <w:tcW w:w="1571"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c>
          <w:tcPr>
            <w:tcW w:w="1379" w:type="dxa"/>
            <w:tcBorders>
              <w:top w:val="nil"/>
              <w:left w:val="nil"/>
              <w:bottom w:val="nil"/>
              <w:right w:val="single" w:sz="8" w:space="0" w:color="auto"/>
            </w:tcBorders>
            <w:shd w:val="clear" w:color="000000" w:fill="D9D9D9"/>
            <w:vAlign w:val="center"/>
            <w:hideMark/>
          </w:tcPr>
          <w:p w:rsidR="00EA050F" w:rsidRPr="00273C37" w:rsidRDefault="00EA050F" w:rsidP="00277F4B">
            <w:pPr>
              <w:rPr>
                <w:b/>
                <w:bCs/>
                <w:color w:val="000000"/>
                <w:sz w:val="20"/>
              </w:rPr>
            </w:pPr>
            <w:r w:rsidRPr="00273C37">
              <w:rPr>
                <w:b/>
                <w:bCs/>
                <w:color w:val="000000"/>
                <w:sz w:val="20"/>
              </w:rPr>
              <w:t> </w:t>
            </w:r>
          </w:p>
        </w:tc>
        <w:tc>
          <w:tcPr>
            <w:tcW w:w="2220" w:type="dxa"/>
            <w:tcBorders>
              <w:top w:val="nil"/>
              <w:left w:val="nil"/>
              <w:bottom w:val="nil"/>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Properties</w:t>
            </w:r>
          </w:p>
        </w:tc>
        <w:tc>
          <w:tcPr>
            <w:tcW w:w="1915" w:type="dxa"/>
            <w:vMerge/>
            <w:tcBorders>
              <w:top w:val="nil"/>
              <w:left w:val="single" w:sz="8" w:space="0" w:color="auto"/>
              <w:bottom w:val="nil"/>
              <w:right w:val="single" w:sz="8" w:space="0" w:color="auto"/>
            </w:tcBorders>
            <w:vAlign w:val="center"/>
            <w:hideMark/>
          </w:tcPr>
          <w:p w:rsidR="00EA050F" w:rsidRPr="00273C37" w:rsidRDefault="00EA050F" w:rsidP="00277F4B">
            <w:pPr>
              <w:rPr>
                <w:b/>
                <w:bCs/>
                <w:color w:val="000000"/>
                <w:sz w:val="20"/>
              </w:rPr>
            </w:pPr>
          </w:p>
        </w:tc>
      </w:tr>
      <w:tr w:rsidR="00EA050F" w:rsidRPr="00273C37" w:rsidTr="00277F4B">
        <w:trPr>
          <w:trHeight w:val="358"/>
        </w:trPr>
        <w:tc>
          <w:tcPr>
            <w:tcW w:w="2669" w:type="dxa"/>
            <w:tcBorders>
              <w:top w:val="nil"/>
              <w:left w:val="single" w:sz="8" w:space="0" w:color="auto"/>
              <w:bottom w:val="single" w:sz="8" w:space="0" w:color="auto"/>
              <w:right w:val="single" w:sz="8" w:space="0" w:color="auto"/>
            </w:tcBorders>
            <w:shd w:val="clear" w:color="000000" w:fill="E0E0E0"/>
            <w:noWrap/>
            <w:vAlign w:val="center"/>
            <w:hideMark/>
          </w:tcPr>
          <w:p w:rsidR="00EA050F" w:rsidRPr="00273C37" w:rsidRDefault="00EA050F" w:rsidP="00277F4B">
            <w:pPr>
              <w:rPr>
                <w:b/>
                <w:bCs/>
                <w:color w:val="000000"/>
                <w:sz w:val="20"/>
              </w:rPr>
            </w:pPr>
            <w:r w:rsidRPr="00273C37">
              <w:rPr>
                <w:b/>
                <w:bCs/>
                <w:color w:val="000000"/>
                <w:sz w:val="20"/>
              </w:rPr>
              <w:t> </w:t>
            </w:r>
          </w:p>
        </w:tc>
        <w:tc>
          <w:tcPr>
            <w:tcW w:w="1287" w:type="dxa"/>
            <w:tcBorders>
              <w:top w:val="nil"/>
              <w:left w:val="nil"/>
              <w:bottom w:val="single" w:sz="8" w:space="0" w:color="auto"/>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w:t>
            </w:r>
          </w:p>
        </w:tc>
        <w:tc>
          <w:tcPr>
            <w:tcW w:w="2441" w:type="dxa"/>
            <w:tcBorders>
              <w:top w:val="nil"/>
              <w:left w:val="nil"/>
              <w:bottom w:val="single" w:sz="8" w:space="0" w:color="auto"/>
              <w:right w:val="single" w:sz="8" w:space="0" w:color="auto"/>
            </w:tcBorders>
            <w:shd w:val="clear" w:color="000000" w:fill="E0E0E0"/>
            <w:noWrap/>
            <w:vAlign w:val="center"/>
            <w:hideMark/>
          </w:tcPr>
          <w:p w:rsidR="00EA050F" w:rsidRPr="00273C37" w:rsidRDefault="00EA050F" w:rsidP="00277F4B">
            <w:pPr>
              <w:jc w:val="center"/>
              <w:rPr>
                <w:b/>
                <w:bCs/>
                <w:color w:val="000000"/>
                <w:sz w:val="20"/>
              </w:rPr>
            </w:pPr>
            <w:r w:rsidRPr="00273C37">
              <w:rPr>
                <w:rFonts w:eastAsia="Calibri"/>
                <w:b/>
                <w:bCs/>
                <w:color w:val="000000"/>
                <w:sz w:val="20"/>
                <w:lang w:eastAsia="en-US"/>
              </w:rPr>
              <w:t> </w:t>
            </w:r>
          </w:p>
        </w:tc>
        <w:tc>
          <w:tcPr>
            <w:tcW w:w="1571" w:type="dxa"/>
            <w:tcBorders>
              <w:top w:val="nil"/>
              <w:left w:val="nil"/>
              <w:bottom w:val="single" w:sz="8" w:space="0" w:color="auto"/>
              <w:right w:val="single" w:sz="8" w:space="0" w:color="auto"/>
            </w:tcBorders>
            <w:shd w:val="clear" w:color="000000" w:fill="E0E0E0"/>
            <w:noWrap/>
            <w:vAlign w:val="center"/>
            <w:hideMark/>
          </w:tcPr>
          <w:p w:rsidR="00EA050F" w:rsidRPr="00273C37" w:rsidRDefault="00EA050F" w:rsidP="00277F4B">
            <w:pPr>
              <w:jc w:val="center"/>
              <w:rPr>
                <w:b/>
                <w:bCs/>
                <w:color w:val="000000"/>
                <w:sz w:val="20"/>
              </w:rPr>
            </w:pPr>
            <w:r w:rsidRPr="00273C37">
              <w:rPr>
                <w:b/>
                <w:bCs/>
                <w:color w:val="000000"/>
                <w:sz w:val="20"/>
              </w:rPr>
              <w:t>£</w:t>
            </w:r>
          </w:p>
        </w:tc>
        <w:tc>
          <w:tcPr>
            <w:tcW w:w="1379" w:type="dxa"/>
            <w:tcBorders>
              <w:top w:val="nil"/>
              <w:left w:val="nil"/>
              <w:bottom w:val="single" w:sz="4" w:space="0" w:color="auto"/>
              <w:right w:val="single" w:sz="8" w:space="0" w:color="auto"/>
            </w:tcBorders>
            <w:shd w:val="clear" w:color="000000" w:fill="E0E0E0"/>
            <w:vAlign w:val="center"/>
            <w:hideMark/>
          </w:tcPr>
          <w:p w:rsidR="00EA050F" w:rsidRPr="00273C37" w:rsidRDefault="00EA050F" w:rsidP="00277F4B">
            <w:pPr>
              <w:jc w:val="center"/>
              <w:rPr>
                <w:b/>
                <w:bCs/>
                <w:color w:val="000000"/>
                <w:sz w:val="20"/>
              </w:rPr>
            </w:pPr>
            <w:r w:rsidRPr="00273C37">
              <w:rPr>
                <w:b/>
                <w:bCs/>
                <w:color w:val="000000"/>
                <w:sz w:val="20"/>
              </w:rPr>
              <w:t>£</w:t>
            </w:r>
          </w:p>
        </w:tc>
        <w:tc>
          <w:tcPr>
            <w:tcW w:w="2220" w:type="dxa"/>
            <w:tcBorders>
              <w:top w:val="nil"/>
              <w:left w:val="nil"/>
              <w:bottom w:val="single" w:sz="4" w:space="0" w:color="auto"/>
              <w:right w:val="single" w:sz="8" w:space="0" w:color="auto"/>
            </w:tcBorders>
            <w:shd w:val="clear" w:color="000000" w:fill="E0E0E0"/>
            <w:noWrap/>
            <w:vAlign w:val="center"/>
            <w:hideMark/>
          </w:tcPr>
          <w:p w:rsidR="00EA050F" w:rsidRPr="00273C37" w:rsidRDefault="00EA050F" w:rsidP="00277F4B">
            <w:pPr>
              <w:jc w:val="center"/>
              <w:rPr>
                <w:b/>
                <w:bCs/>
                <w:color w:val="000000"/>
                <w:sz w:val="20"/>
              </w:rPr>
            </w:pPr>
            <w:r w:rsidRPr="00273C37">
              <w:rPr>
                <w:rFonts w:eastAsia="Calibri"/>
                <w:b/>
                <w:bCs/>
                <w:color w:val="000000"/>
                <w:sz w:val="20"/>
                <w:lang w:eastAsia="en-US"/>
              </w:rPr>
              <w:t> </w:t>
            </w:r>
          </w:p>
        </w:tc>
        <w:tc>
          <w:tcPr>
            <w:tcW w:w="1915" w:type="dxa"/>
            <w:tcBorders>
              <w:top w:val="nil"/>
              <w:left w:val="nil"/>
              <w:bottom w:val="single" w:sz="4" w:space="0" w:color="auto"/>
              <w:right w:val="single" w:sz="8" w:space="0" w:color="auto"/>
            </w:tcBorders>
            <w:shd w:val="clear" w:color="000000" w:fill="E0E0E0"/>
            <w:noWrap/>
            <w:vAlign w:val="center"/>
            <w:hideMark/>
          </w:tcPr>
          <w:p w:rsidR="00EA050F" w:rsidRPr="00273C37" w:rsidRDefault="00EA050F" w:rsidP="00277F4B">
            <w:pPr>
              <w:jc w:val="center"/>
              <w:rPr>
                <w:b/>
                <w:bCs/>
                <w:color w:val="000000"/>
                <w:sz w:val="20"/>
              </w:rPr>
            </w:pPr>
            <w:r w:rsidRPr="00273C37">
              <w:rPr>
                <w:b/>
                <w:bCs/>
                <w:color w:val="000000"/>
                <w:sz w:val="20"/>
              </w:rPr>
              <w:t>£</w:t>
            </w:r>
          </w:p>
        </w:tc>
      </w:tr>
      <w:tr w:rsidR="00EA050F" w:rsidRPr="00273C37" w:rsidTr="00277F4B">
        <w:trPr>
          <w:trHeight w:val="358"/>
        </w:trPr>
        <w:tc>
          <w:tcPr>
            <w:tcW w:w="2669" w:type="dxa"/>
            <w:tcBorders>
              <w:top w:val="nil"/>
              <w:left w:val="single" w:sz="8" w:space="0" w:color="auto"/>
              <w:bottom w:val="nil"/>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Farington</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50,000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2,196.9</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22.76</w:t>
            </w:r>
            <w:r w:rsidRPr="00365AB5">
              <w:rPr>
                <w:color w:val="000000"/>
                <w:sz w:val="20"/>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50,000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2,297.0</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21.77</w:t>
            </w:r>
            <w:r w:rsidRPr="00365AB5">
              <w:rPr>
                <w:color w:val="000000"/>
                <w:sz w:val="20"/>
              </w:rPr>
              <w:t xml:space="preserve"> </w:t>
            </w:r>
          </w:p>
        </w:tc>
      </w:tr>
      <w:tr w:rsidR="00EA050F" w:rsidRPr="00273C37" w:rsidTr="00277F4B">
        <w:trPr>
          <w:trHeight w:val="358"/>
        </w:trPr>
        <w:tc>
          <w:tcPr>
            <w:tcW w:w="2669" w:type="dxa"/>
            <w:tcBorders>
              <w:top w:val="nil"/>
              <w:left w:val="single" w:sz="8" w:space="0" w:color="auto"/>
              <w:bottom w:val="nil"/>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Hutton</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22,000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88</w:t>
            </w:r>
            <w:r>
              <w:rPr>
                <w:color w:val="000000"/>
                <w:sz w:val="20"/>
              </w:rPr>
              <w:t>6.9</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24.</w:t>
            </w:r>
            <w:r>
              <w:rPr>
                <w:color w:val="000000"/>
                <w:sz w:val="20"/>
              </w:rPr>
              <w:t>81</w:t>
            </w:r>
            <w:r w:rsidRPr="00365AB5">
              <w:rPr>
                <w:color w:val="000000"/>
                <w:sz w:val="20"/>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22,000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910.9</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24.</w:t>
            </w:r>
            <w:r>
              <w:rPr>
                <w:color w:val="000000"/>
                <w:sz w:val="20"/>
              </w:rPr>
              <w:t>15</w:t>
            </w:r>
            <w:r w:rsidRPr="00365AB5">
              <w:rPr>
                <w:color w:val="000000"/>
                <w:sz w:val="20"/>
              </w:rPr>
              <w:t xml:space="preserve"> </w:t>
            </w:r>
          </w:p>
        </w:tc>
      </w:tr>
      <w:tr w:rsidR="00EA050F" w:rsidRPr="00273C37" w:rsidTr="00277F4B">
        <w:trPr>
          <w:trHeight w:val="487"/>
        </w:trPr>
        <w:tc>
          <w:tcPr>
            <w:tcW w:w="2669" w:type="dxa"/>
            <w:tcBorders>
              <w:top w:val="nil"/>
              <w:left w:val="single" w:sz="8" w:space="0" w:color="auto"/>
              <w:bottom w:val="nil"/>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Little Hoole</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22,500</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817.3</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27.53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EA050F" w:rsidRPr="00365AB5" w:rsidRDefault="00EA050F" w:rsidP="00277F4B">
            <w:pPr>
              <w:jc w:val="right"/>
              <w:rPr>
                <w:color w:val="000000"/>
                <w:sz w:val="20"/>
              </w:rPr>
            </w:pPr>
            <w:r>
              <w:rPr>
                <w:color w:val="000000"/>
                <w:sz w:val="20"/>
              </w:rPr>
              <w:t>22,500</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tcPr>
          <w:p w:rsidR="00EA050F" w:rsidRPr="00365AB5" w:rsidRDefault="00EA050F" w:rsidP="00277F4B">
            <w:pPr>
              <w:jc w:val="right"/>
              <w:rPr>
                <w:color w:val="000000"/>
                <w:sz w:val="20"/>
              </w:rPr>
            </w:pPr>
            <w:r>
              <w:rPr>
                <w:color w:val="000000"/>
                <w:sz w:val="20"/>
              </w:rPr>
              <w:t>807.8</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tcPr>
          <w:p w:rsidR="00EA050F" w:rsidRPr="00365AB5" w:rsidRDefault="00EA050F" w:rsidP="00277F4B">
            <w:pPr>
              <w:jc w:val="right"/>
              <w:rPr>
                <w:color w:val="000000"/>
                <w:sz w:val="20"/>
              </w:rPr>
            </w:pPr>
            <w:r>
              <w:rPr>
                <w:color w:val="000000"/>
                <w:sz w:val="20"/>
              </w:rPr>
              <w:t>27.85</w:t>
            </w:r>
          </w:p>
        </w:tc>
      </w:tr>
      <w:tr w:rsidR="00EA050F" w:rsidRPr="00273C37" w:rsidTr="00277F4B">
        <w:trPr>
          <w:trHeight w:val="358"/>
        </w:trPr>
        <w:tc>
          <w:tcPr>
            <w:tcW w:w="2669" w:type="dxa"/>
            <w:tcBorders>
              <w:top w:val="nil"/>
              <w:left w:val="single" w:sz="8" w:space="0" w:color="auto"/>
              <w:bottom w:val="nil"/>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Longton</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73,200</w:t>
            </w:r>
            <w:r w:rsidRPr="00365AB5">
              <w:rPr>
                <w:color w:val="000000"/>
                <w:sz w:val="20"/>
              </w:rPr>
              <w:t xml:space="preserve">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3,108.3</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23.55</w:t>
            </w:r>
            <w:r w:rsidRPr="00365AB5">
              <w:rPr>
                <w:color w:val="000000"/>
                <w:sz w:val="20"/>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116,000</w:t>
            </w:r>
            <w:r w:rsidRPr="00365AB5">
              <w:rPr>
                <w:color w:val="000000"/>
                <w:sz w:val="20"/>
              </w:rPr>
              <w:t xml:space="preserve">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3,119.6</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37.18</w:t>
            </w:r>
            <w:r w:rsidRPr="00365AB5">
              <w:rPr>
                <w:color w:val="000000"/>
                <w:sz w:val="20"/>
              </w:rPr>
              <w:t xml:space="preserve"> </w:t>
            </w:r>
          </w:p>
        </w:tc>
      </w:tr>
      <w:tr w:rsidR="00EA050F" w:rsidRPr="00273C37" w:rsidTr="00277F4B">
        <w:trPr>
          <w:trHeight w:val="358"/>
        </w:trPr>
        <w:tc>
          <w:tcPr>
            <w:tcW w:w="2669" w:type="dxa"/>
            <w:tcBorders>
              <w:top w:val="nil"/>
              <w:left w:val="single" w:sz="8" w:space="0" w:color="auto"/>
              <w:bottom w:val="nil"/>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Much Hoole</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19,353</w:t>
            </w:r>
            <w:r w:rsidRPr="00365AB5">
              <w:rPr>
                <w:color w:val="000000"/>
                <w:sz w:val="20"/>
              </w:rPr>
              <w:t xml:space="preserve">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70</w:t>
            </w:r>
            <w:r>
              <w:rPr>
                <w:color w:val="000000"/>
                <w:sz w:val="20"/>
              </w:rPr>
              <w:t>7</w:t>
            </w:r>
            <w:r w:rsidRPr="00365AB5">
              <w:rPr>
                <w:color w:val="000000"/>
                <w:sz w:val="20"/>
              </w:rPr>
              <w:t>.2</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27.37</w:t>
            </w:r>
            <w:r w:rsidRPr="00365AB5">
              <w:rPr>
                <w:color w:val="000000"/>
                <w:sz w:val="20"/>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8,604</w:t>
            </w:r>
            <w:r w:rsidRPr="00365AB5">
              <w:rPr>
                <w:color w:val="000000"/>
                <w:sz w:val="20"/>
              </w:rPr>
              <w:t xml:space="preserve">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722.6</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11.91</w:t>
            </w:r>
            <w:r w:rsidRPr="00365AB5">
              <w:rPr>
                <w:color w:val="000000"/>
                <w:sz w:val="20"/>
              </w:rPr>
              <w:t xml:space="preserve"> </w:t>
            </w:r>
          </w:p>
        </w:tc>
      </w:tr>
      <w:tr w:rsidR="00EA050F" w:rsidRPr="00273C37" w:rsidTr="00277F4B">
        <w:trPr>
          <w:trHeight w:val="358"/>
        </w:trPr>
        <w:tc>
          <w:tcPr>
            <w:tcW w:w="2669" w:type="dxa"/>
            <w:tcBorders>
              <w:top w:val="nil"/>
              <w:left w:val="single" w:sz="8" w:space="0" w:color="auto"/>
              <w:bottom w:val="nil"/>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Penwortham</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170,000</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7,510.</w:t>
            </w:r>
            <w:r>
              <w:rPr>
                <w:color w:val="000000"/>
                <w:sz w:val="20"/>
              </w:rPr>
              <w:t>1</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22.64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170,000</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7,5</w:t>
            </w:r>
            <w:r>
              <w:rPr>
                <w:color w:val="000000"/>
                <w:sz w:val="20"/>
              </w:rPr>
              <w:t>32</w:t>
            </w:r>
            <w:r w:rsidRPr="00365AB5">
              <w:rPr>
                <w:color w:val="000000"/>
                <w:sz w:val="20"/>
              </w:rPr>
              <w:t>.</w:t>
            </w:r>
            <w:r>
              <w:rPr>
                <w:color w:val="000000"/>
                <w:sz w:val="20"/>
              </w:rPr>
              <w:t>3</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22.</w:t>
            </w:r>
            <w:r>
              <w:rPr>
                <w:color w:val="000000"/>
                <w:sz w:val="20"/>
              </w:rPr>
              <w:t>57</w:t>
            </w:r>
            <w:r w:rsidRPr="00365AB5">
              <w:rPr>
                <w:color w:val="000000"/>
                <w:sz w:val="20"/>
              </w:rPr>
              <w:t xml:space="preserve"> </w:t>
            </w:r>
          </w:p>
        </w:tc>
      </w:tr>
      <w:tr w:rsidR="00EA050F" w:rsidRPr="00273C37" w:rsidTr="00277F4B">
        <w:trPr>
          <w:trHeight w:val="358"/>
        </w:trPr>
        <w:tc>
          <w:tcPr>
            <w:tcW w:w="2669" w:type="dxa"/>
            <w:tcBorders>
              <w:top w:val="nil"/>
              <w:left w:val="single" w:sz="8" w:space="0" w:color="auto"/>
              <w:bottom w:val="single" w:sz="8" w:space="0" w:color="auto"/>
              <w:right w:val="single" w:sz="8" w:space="0" w:color="auto"/>
            </w:tcBorders>
            <w:shd w:val="clear" w:color="000000" w:fill="FFFFFF"/>
            <w:noWrap/>
            <w:vAlign w:val="center"/>
            <w:hideMark/>
          </w:tcPr>
          <w:p w:rsidR="00EA050F" w:rsidRPr="00273C37" w:rsidRDefault="00EA050F" w:rsidP="00277F4B">
            <w:pPr>
              <w:rPr>
                <w:color w:val="000000"/>
                <w:sz w:val="20"/>
              </w:rPr>
            </w:pPr>
            <w:r w:rsidRPr="00273C37">
              <w:rPr>
                <w:color w:val="000000"/>
                <w:sz w:val="20"/>
              </w:rPr>
              <w:t>Samlesbury &amp;</w:t>
            </w:r>
            <w:r>
              <w:rPr>
                <w:color w:val="000000"/>
                <w:sz w:val="20"/>
              </w:rPr>
              <w:t xml:space="preserve"> </w:t>
            </w:r>
            <w:r w:rsidRPr="00273C37">
              <w:rPr>
                <w:color w:val="000000"/>
                <w:sz w:val="20"/>
              </w:rPr>
              <w:t>Cuerdale</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8</w:t>
            </w:r>
            <w:r w:rsidRPr="00365AB5">
              <w:rPr>
                <w:color w:val="000000"/>
                <w:sz w:val="20"/>
              </w:rPr>
              <w:t xml:space="preserve">,000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501.3</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1</w:t>
            </w:r>
            <w:r>
              <w:rPr>
                <w:color w:val="000000"/>
                <w:sz w:val="20"/>
              </w:rPr>
              <w:t>5.96</w:t>
            </w:r>
            <w:r w:rsidRPr="00365AB5">
              <w:rPr>
                <w:color w:val="000000"/>
                <w:sz w:val="20"/>
              </w:rPr>
              <w:t xml:space="preserve">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w:t>
            </w:r>
            <w:r>
              <w:rPr>
                <w:color w:val="000000"/>
                <w:sz w:val="20"/>
              </w:rPr>
              <w:t>8</w:t>
            </w:r>
            <w:r w:rsidRPr="00365AB5">
              <w:rPr>
                <w:color w:val="000000"/>
                <w:sz w:val="20"/>
              </w:rPr>
              <w:t xml:space="preserve">,000 </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Pr>
                <w:color w:val="000000"/>
                <w:sz w:val="20"/>
              </w:rPr>
              <w:t>503.0</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050F" w:rsidRPr="00365AB5" w:rsidRDefault="00EA050F" w:rsidP="00277F4B">
            <w:pPr>
              <w:jc w:val="right"/>
              <w:rPr>
                <w:color w:val="000000"/>
                <w:sz w:val="20"/>
              </w:rPr>
            </w:pPr>
            <w:r w:rsidRPr="00365AB5">
              <w:rPr>
                <w:color w:val="000000"/>
                <w:sz w:val="20"/>
              </w:rPr>
              <w:t xml:space="preserve">                           1</w:t>
            </w:r>
            <w:r>
              <w:rPr>
                <w:color w:val="000000"/>
                <w:sz w:val="20"/>
              </w:rPr>
              <w:t>5.90</w:t>
            </w:r>
            <w:r w:rsidRPr="00365AB5">
              <w:rPr>
                <w:color w:val="000000"/>
                <w:sz w:val="20"/>
              </w:rPr>
              <w:t xml:space="preserve"> </w:t>
            </w:r>
          </w:p>
        </w:tc>
      </w:tr>
      <w:tr w:rsidR="00EA050F" w:rsidRPr="00273C37" w:rsidTr="00277F4B">
        <w:trPr>
          <w:trHeight w:val="358"/>
        </w:trPr>
        <w:tc>
          <w:tcPr>
            <w:tcW w:w="2669" w:type="dxa"/>
            <w:tcBorders>
              <w:top w:val="nil"/>
              <w:left w:val="single" w:sz="8" w:space="0" w:color="auto"/>
              <w:bottom w:val="single" w:sz="8" w:space="0" w:color="auto"/>
              <w:right w:val="single" w:sz="8" w:space="0" w:color="auto"/>
            </w:tcBorders>
            <w:shd w:val="clear" w:color="000000" w:fill="E0E0E0"/>
            <w:noWrap/>
            <w:vAlign w:val="center"/>
            <w:hideMark/>
          </w:tcPr>
          <w:p w:rsidR="00EA050F" w:rsidRPr="00273C37" w:rsidRDefault="00EA050F" w:rsidP="00277F4B">
            <w:pPr>
              <w:rPr>
                <w:b/>
                <w:bCs/>
                <w:color w:val="000000"/>
                <w:sz w:val="20"/>
              </w:rPr>
            </w:pPr>
            <w:r w:rsidRPr="00273C37">
              <w:rPr>
                <w:b/>
                <w:bCs/>
                <w:color w:val="000000"/>
                <w:sz w:val="20"/>
              </w:rPr>
              <w:t>Total</w:t>
            </w:r>
          </w:p>
        </w:tc>
        <w:tc>
          <w:tcPr>
            <w:tcW w:w="1287" w:type="dxa"/>
            <w:tcBorders>
              <w:top w:val="single" w:sz="4" w:space="0" w:color="auto"/>
              <w:left w:val="nil"/>
              <w:bottom w:val="single" w:sz="8" w:space="0" w:color="auto"/>
              <w:right w:val="single" w:sz="8" w:space="0" w:color="auto"/>
            </w:tcBorders>
            <w:shd w:val="clear" w:color="000000" w:fill="E0E0E0"/>
            <w:vAlign w:val="center"/>
            <w:hideMark/>
          </w:tcPr>
          <w:p w:rsidR="00EA050F" w:rsidRPr="00273C37" w:rsidRDefault="00EA050F" w:rsidP="00277F4B">
            <w:pPr>
              <w:jc w:val="right"/>
              <w:rPr>
                <w:b/>
                <w:bCs/>
                <w:color w:val="000000"/>
                <w:sz w:val="20"/>
              </w:rPr>
            </w:pPr>
            <w:r>
              <w:rPr>
                <w:b/>
                <w:bCs/>
                <w:color w:val="000000"/>
                <w:sz w:val="20"/>
              </w:rPr>
              <w:t xml:space="preserve">    365,053</w:t>
            </w:r>
          </w:p>
        </w:tc>
        <w:tc>
          <w:tcPr>
            <w:tcW w:w="2441" w:type="dxa"/>
            <w:tcBorders>
              <w:top w:val="single" w:sz="4" w:space="0" w:color="auto"/>
              <w:left w:val="nil"/>
              <w:bottom w:val="single" w:sz="8" w:space="0" w:color="auto"/>
              <w:right w:val="single" w:sz="8" w:space="0" w:color="auto"/>
            </w:tcBorders>
            <w:shd w:val="clear" w:color="000000" w:fill="E0E0E0"/>
            <w:noWrap/>
            <w:vAlign w:val="center"/>
            <w:hideMark/>
          </w:tcPr>
          <w:p w:rsidR="00EA050F" w:rsidRPr="00273C37" w:rsidRDefault="00EA050F" w:rsidP="00277F4B">
            <w:pPr>
              <w:jc w:val="right"/>
              <w:rPr>
                <w:b/>
                <w:bCs/>
                <w:color w:val="000000"/>
                <w:sz w:val="20"/>
              </w:rPr>
            </w:pPr>
            <w:r>
              <w:rPr>
                <w:b/>
                <w:bCs/>
                <w:color w:val="000000"/>
                <w:sz w:val="20"/>
              </w:rPr>
              <w:t>15,728.0</w:t>
            </w:r>
          </w:p>
        </w:tc>
        <w:tc>
          <w:tcPr>
            <w:tcW w:w="1571" w:type="dxa"/>
            <w:tcBorders>
              <w:top w:val="single" w:sz="4" w:space="0" w:color="auto"/>
              <w:left w:val="nil"/>
              <w:bottom w:val="single" w:sz="8" w:space="0" w:color="auto"/>
              <w:right w:val="single" w:sz="8" w:space="0" w:color="auto"/>
            </w:tcBorders>
            <w:shd w:val="clear" w:color="000000" w:fill="E0E0E0"/>
            <w:vAlign w:val="center"/>
            <w:hideMark/>
          </w:tcPr>
          <w:p w:rsidR="00EA050F" w:rsidRPr="00273C37" w:rsidRDefault="00EA050F" w:rsidP="00277F4B">
            <w:pPr>
              <w:jc w:val="right"/>
              <w:rPr>
                <w:color w:val="000000"/>
                <w:sz w:val="20"/>
              </w:rPr>
            </w:pPr>
            <w:r w:rsidRPr="00273C37">
              <w:rPr>
                <w:color w:val="000000"/>
                <w:sz w:val="20"/>
              </w:rPr>
              <w:t> </w:t>
            </w:r>
          </w:p>
        </w:tc>
        <w:tc>
          <w:tcPr>
            <w:tcW w:w="1379" w:type="dxa"/>
            <w:tcBorders>
              <w:top w:val="single" w:sz="4" w:space="0" w:color="auto"/>
              <w:left w:val="nil"/>
              <w:bottom w:val="single" w:sz="8" w:space="0" w:color="auto"/>
              <w:right w:val="single" w:sz="8" w:space="0" w:color="auto"/>
            </w:tcBorders>
            <w:shd w:val="clear" w:color="000000" w:fill="E0E0E0"/>
            <w:vAlign w:val="center"/>
            <w:hideMark/>
          </w:tcPr>
          <w:p w:rsidR="00EA050F" w:rsidRPr="00273C37" w:rsidRDefault="00EA050F" w:rsidP="00277F4B">
            <w:pPr>
              <w:jc w:val="right"/>
              <w:rPr>
                <w:b/>
                <w:bCs/>
                <w:color w:val="000000"/>
                <w:sz w:val="20"/>
              </w:rPr>
            </w:pPr>
            <w:r>
              <w:rPr>
                <w:b/>
                <w:bCs/>
                <w:color w:val="000000"/>
                <w:sz w:val="20"/>
              </w:rPr>
              <w:t xml:space="preserve">    397,104</w:t>
            </w:r>
          </w:p>
        </w:tc>
        <w:tc>
          <w:tcPr>
            <w:tcW w:w="2220" w:type="dxa"/>
            <w:tcBorders>
              <w:top w:val="single" w:sz="4" w:space="0" w:color="auto"/>
              <w:left w:val="nil"/>
              <w:bottom w:val="single" w:sz="8" w:space="0" w:color="auto"/>
              <w:right w:val="single" w:sz="8" w:space="0" w:color="auto"/>
            </w:tcBorders>
            <w:shd w:val="clear" w:color="000000" w:fill="E0E0E0"/>
            <w:noWrap/>
            <w:vAlign w:val="center"/>
            <w:hideMark/>
          </w:tcPr>
          <w:p w:rsidR="00EA050F" w:rsidRPr="00273C37" w:rsidRDefault="00EA050F" w:rsidP="00B9436D">
            <w:pPr>
              <w:jc w:val="right"/>
              <w:rPr>
                <w:b/>
                <w:bCs/>
                <w:color w:val="000000"/>
                <w:sz w:val="20"/>
              </w:rPr>
            </w:pPr>
            <w:r>
              <w:rPr>
                <w:b/>
                <w:bCs/>
                <w:color w:val="000000"/>
                <w:sz w:val="20"/>
              </w:rPr>
              <w:t>15,893.</w:t>
            </w:r>
            <w:r w:rsidR="00B9436D">
              <w:rPr>
                <w:b/>
                <w:bCs/>
                <w:color w:val="000000"/>
                <w:sz w:val="20"/>
              </w:rPr>
              <w:t>2</w:t>
            </w:r>
          </w:p>
        </w:tc>
        <w:tc>
          <w:tcPr>
            <w:tcW w:w="1915" w:type="dxa"/>
            <w:tcBorders>
              <w:top w:val="single" w:sz="4" w:space="0" w:color="auto"/>
              <w:left w:val="nil"/>
              <w:bottom w:val="single" w:sz="8" w:space="0" w:color="auto"/>
              <w:right w:val="single" w:sz="8" w:space="0" w:color="auto"/>
            </w:tcBorders>
            <w:shd w:val="clear" w:color="000000" w:fill="E0E0E0"/>
            <w:vAlign w:val="center"/>
            <w:hideMark/>
          </w:tcPr>
          <w:p w:rsidR="00EA050F" w:rsidRPr="00273C37" w:rsidRDefault="00EA050F" w:rsidP="00277F4B">
            <w:pPr>
              <w:jc w:val="right"/>
              <w:rPr>
                <w:color w:val="000000"/>
                <w:sz w:val="20"/>
              </w:rPr>
            </w:pPr>
            <w:r w:rsidRPr="00273C37">
              <w:rPr>
                <w:color w:val="000000"/>
                <w:sz w:val="20"/>
              </w:rPr>
              <w:t> </w:t>
            </w:r>
          </w:p>
        </w:tc>
      </w:tr>
    </w:tbl>
    <w:p w:rsidR="00EA050F" w:rsidRDefault="00EA050F" w:rsidP="00EA050F">
      <w:pPr>
        <w:pStyle w:val="DefaultText"/>
        <w:rPr>
          <w:sz w:val="22"/>
          <w:szCs w:val="22"/>
        </w:rPr>
      </w:pPr>
    </w:p>
    <w:p w:rsidR="007E7F34" w:rsidRDefault="007E7F34" w:rsidP="007E7F34">
      <w:pPr>
        <w:jc w:val="both"/>
        <w:rPr>
          <w:rFonts w:ascii="Helvetica" w:hAnsi="Helvetica" w:cs="Helvetica"/>
          <w:szCs w:val="22"/>
          <w:lang w:eastAsia="en-US"/>
        </w:rPr>
      </w:pPr>
    </w:p>
    <w:sectPr w:rsidR="007E7F34" w:rsidSect="00B9436D">
      <w:pgSz w:w="16838" w:h="11906" w:orient="landscape" w:code="9"/>
      <w:pgMar w:top="851" w:right="1134" w:bottom="1134" w:left="567" w:header="720" w:footer="45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38" w:rsidRDefault="00BA1338">
      <w:r>
        <w:separator/>
      </w:r>
    </w:p>
  </w:endnote>
  <w:endnote w:type="continuationSeparator" w:id="0">
    <w:p w:rsidR="00BA1338" w:rsidRDefault="00BA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4B" w:rsidRDefault="00277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7F4B" w:rsidRDefault="00277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4B" w:rsidRDefault="00277F4B">
    <w:pPr>
      <w:pStyle w:val="Footer"/>
      <w:jc w:val="center"/>
    </w:pPr>
    <w:r>
      <w:fldChar w:fldCharType="begin"/>
    </w:r>
    <w:r>
      <w:instrText xml:space="preserve"> PAGE   \* MERGEFORMAT </w:instrText>
    </w:r>
    <w:r>
      <w:fldChar w:fldCharType="separate"/>
    </w:r>
    <w:r w:rsidR="00465EBF">
      <w:rPr>
        <w:noProof/>
      </w:rPr>
      <w:t>7</w:t>
    </w:r>
    <w:r>
      <w:rPr>
        <w:noProof/>
      </w:rPr>
      <w:fldChar w:fldCharType="end"/>
    </w:r>
  </w:p>
  <w:p w:rsidR="00277F4B" w:rsidRDefault="00277F4B" w:rsidP="00277F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38" w:rsidRDefault="00BA1338">
      <w:r>
        <w:separator/>
      </w:r>
    </w:p>
  </w:footnote>
  <w:footnote w:type="continuationSeparator" w:id="0">
    <w:p w:rsidR="00BA1338" w:rsidRDefault="00BA1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1624B"/>
    <w:multiLevelType w:val="hybridMultilevel"/>
    <w:tmpl w:val="7A7201B4"/>
    <w:lvl w:ilvl="0" w:tplc="53B839E6">
      <w:start w:val="1"/>
      <w:numFmt w:val="decimal"/>
      <w:lvlText w:val="%1."/>
      <w:lvlJc w:val="left"/>
      <w:pPr>
        <w:ind w:left="720" w:hanging="360"/>
      </w:pPr>
      <w:rPr>
        <w:rFonts w:ascii="Helvetica" w:hAnsi="Helvetica" w:cs="Helvetic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FD06E1"/>
    <w:multiLevelType w:val="hybridMultilevel"/>
    <w:tmpl w:val="3CDA0A4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D35E51"/>
    <w:multiLevelType w:val="hybridMultilevel"/>
    <w:tmpl w:val="7182FBC2"/>
    <w:lvl w:ilvl="0" w:tplc="6DCCB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495414"/>
    <w:multiLevelType w:val="hybridMultilevel"/>
    <w:tmpl w:val="F1D621FE"/>
    <w:lvl w:ilvl="0" w:tplc="42CAB0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C71046"/>
    <w:multiLevelType w:val="hybridMultilevel"/>
    <w:tmpl w:val="A956EF24"/>
    <w:lvl w:ilvl="0" w:tplc="45D8FF5A">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7BC86B56"/>
    <w:multiLevelType w:val="hybridMultilevel"/>
    <w:tmpl w:val="65C0029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15"/>
  </w:num>
  <w:num w:numId="13">
    <w:abstractNumId w:val="13"/>
  </w:num>
  <w:num w:numId="14">
    <w:abstractNumId w:val="1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84C21"/>
    <w:rsid w:val="0009466B"/>
    <w:rsid w:val="000D40AB"/>
    <w:rsid w:val="000E10FE"/>
    <w:rsid w:val="000E5A3B"/>
    <w:rsid w:val="000F2C8A"/>
    <w:rsid w:val="0010115F"/>
    <w:rsid w:val="00116662"/>
    <w:rsid w:val="001544DD"/>
    <w:rsid w:val="00167713"/>
    <w:rsid w:val="00167AEF"/>
    <w:rsid w:val="00176159"/>
    <w:rsid w:val="00184E1D"/>
    <w:rsid w:val="0019545D"/>
    <w:rsid w:val="001A24F9"/>
    <w:rsid w:val="001F6A48"/>
    <w:rsid w:val="00207251"/>
    <w:rsid w:val="002221BD"/>
    <w:rsid w:val="0025591B"/>
    <w:rsid w:val="00277F4B"/>
    <w:rsid w:val="002820A5"/>
    <w:rsid w:val="00286F4C"/>
    <w:rsid w:val="00294520"/>
    <w:rsid w:val="002A1841"/>
    <w:rsid w:val="002D4745"/>
    <w:rsid w:val="002E4FF4"/>
    <w:rsid w:val="002F5C5E"/>
    <w:rsid w:val="00304D9F"/>
    <w:rsid w:val="0031059E"/>
    <w:rsid w:val="00331D5F"/>
    <w:rsid w:val="00345C71"/>
    <w:rsid w:val="00357F6B"/>
    <w:rsid w:val="00361BDB"/>
    <w:rsid w:val="00366D1E"/>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32BA9"/>
    <w:rsid w:val="00442C46"/>
    <w:rsid w:val="0045553F"/>
    <w:rsid w:val="00455F43"/>
    <w:rsid w:val="00465EBF"/>
    <w:rsid w:val="00467204"/>
    <w:rsid w:val="00474DA8"/>
    <w:rsid w:val="00491976"/>
    <w:rsid w:val="004A45D4"/>
    <w:rsid w:val="004C2F94"/>
    <w:rsid w:val="004D7260"/>
    <w:rsid w:val="004F23B3"/>
    <w:rsid w:val="0050340F"/>
    <w:rsid w:val="005041BB"/>
    <w:rsid w:val="00504846"/>
    <w:rsid w:val="00517D50"/>
    <w:rsid w:val="00526FCA"/>
    <w:rsid w:val="00533525"/>
    <w:rsid w:val="00537F51"/>
    <w:rsid w:val="00547120"/>
    <w:rsid w:val="00547481"/>
    <w:rsid w:val="00552DBD"/>
    <w:rsid w:val="00573C9A"/>
    <w:rsid w:val="00576A82"/>
    <w:rsid w:val="00594D09"/>
    <w:rsid w:val="005A1AC8"/>
    <w:rsid w:val="005A26AD"/>
    <w:rsid w:val="005B0C36"/>
    <w:rsid w:val="005D10A2"/>
    <w:rsid w:val="005D4F59"/>
    <w:rsid w:val="005E78B0"/>
    <w:rsid w:val="0060374B"/>
    <w:rsid w:val="00621D7D"/>
    <w:rsid w:val="00630F86"/>
    <w:rsid w:val="00633396"/>
    <w:rsid w:val="00645A0B"/>
    <w:rsid w:val="0065176C"/>
    <w:rsid w:val="006555E6"/>
    <w:rsid w:val="006879CA"/>
    <w:rsid w:val="00693EE6"/>
    <w:rsid w:val="00697530"/>
    <w:rsid w:val="006B645E"/>
    <w:rsid w:val="006B66A7"/>
    <w:rsid w:val="006B7116"/>
    <w:rsid w:val="006C04C1"/>
    <w:rsid w:val="006C209A"/>
    <w:rsid w:val="006E09FB"/>
    <w:rsid w:val="006E0ECA"/>
    <w:rsid w:val="006F48FD"/>
    <w:rsid w:val="00703DE3"/>
    <w:rsid w:val="00707E99"/>
    <w:rsid w:val="00712E3F"/>
    <w:rsid w:val="007A0801"/>
    <w:rsid w:val="007C7FD0"/>
    <w:rsid w:val="007E7F34"/>
    <w:rsid w:val="007F5616"/>
    <w:rsid w:val="00814F6D"/>
    <w:rsid w:val="0082272D"/>
    <w:rsid w:val="00857921"/>
    <w:rsid w:val="008747BD"/>
    <w:rsid w:val="008770BE"/>
    <w:rsid w:val="00882505"/>
    <w:rsid w:val="00893AD2"/>
    <w:rsid w:val="008A2F6B"/>
    <w:rsid w:val="008A42E3"/>
    <w:rsid w:val="008A77AB"/>
    <w:rsid w:val="008B41C5"/>
    <w:rsid w:val="008C04DA"/>
    <w:rsid w:val="008C1DBF"/>
    <w:rsid w:val="008C3B1A"/>
    <w:rsid w:val="008C5D14"/>
    <w:rsid w:val="008C7D0A"/>
    <w:rsid w:val="008D623F"/>
    <w:rsid w:val="008F4B91"/>
    <w:rsid w:val="0090542C"/>
    <w:rsid w:val="009063C4"/>
    <w:rsid w:val="00911FD5"/>
    <w:rsid w:val="00912939"/>
    <w:rsid w:val="009227C9"/>
    <w:rsid w:val="009350CB"/>
    <w:rsid w:val="009538AE"/>
    <w:rsid w:val="00961EF8"/>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55019"/>
    <w:rsid w:val="00A62C20"/>
    <w:rsid w:val="00A67215"/>
    <w:rsid w:val="00A7541A"/>
    <w:rsid w:val="00A76482"/>
    <w:rsid w:val="00A8722E"/>
    <w:rsid w:val="00A975A7"/>
    <w:rsid w:val="00AB3D95"/>
    <w:rsid w:val="00AC1065"/>
    <w:rsid w:val="00AC4A99"/>
    <w:rsid w:val="00AF0A33"/>
    <w:rsid w:val="00B05FE8"/>
    <w:rsid w:val="00B1788B"/>
    <w:rsid w:val="00B443DD"/>
    <w:rsid w:val="00B51DB8"/>
    <w:rsid w:val="00B62D79"/>
    <w:rsid w:val="00B67225"/>
    <w:rsid w:val="00B70B91"/>
    <w:rsid w:val="00B716F5"/>
    <w:rsid w:val="00B72A06"/>
    <w:rsid w:val="00B766C4"/>
    <w:rsid w:val="00B9436D"/>
    <w:rsid w:val="00BA1338"/>
    <w:rsid w:val="00BA2606"/>
    <w:rsid w:val="00BA5FD3"/>
    <w:rsid w:val="00BC6635"/>
    <w:rsid w:val="00BD2AFE"/>
    <w:rsid w:val="00BE0127"/>
    <w:rsid w:val="00C022F9"/>
    <w:rsid w:val="00C047D2"/>
    <w:rsid w:val="00C209E3"/>
    <w:rsid w:val="00C30128"/>
    <w:rsid w:val="00C52450"/>
    <w:rsid w:val="00C64ED1"/>
    <w:rsid w:val="00C65FF9"/>
    <w:rsid w:val="00C66BAA"/>
    <w:rsid w:val="00C80A48"/>
    <w:rsid w:val="00CB32DF"/>
    <w:rsid w:val="00CC3246"/>
    <w:rsid w:val="00CC4337"/>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D0553"/>
    <w:rsid w:val="00DE37C2"/>
    <w:rsid w:val="00DE5E12"/>
    <w:rsid w:val="00E048CF"/>
    <w:rsid w:val="00E2276E"/>
    <w:rsid w:val="00E41950"/>
    <w:rsid w:val="00E50A9C"/>
    <w:rsid w:val="00E51F90"/>
    <w:rsid w:val="00E569CB"/>
    <w:rsid w:val="00E577A2"/>
    <w:rsid w:val="00E60A53"/>
    <w:rsid w:val="00E66713"/>
    <w:rsid w:val="00E733A5"/>
    <w:rsid w:val="00E753EC"/>
    <w:rsid w:val="00E83BFE"/>
    <w:rsid w:val="00E84459"/>
    <w:rsid w:val="00E971A2"/>
    <w:rsid w:val="00EA050F"/>
    <w:rsid w:val="00EB7B0D"/>
    <w:rsid w:val="00EB7C94"/>
    <w:rsid w:val="00ED096E"/>
    <w:rsid w:val="00ED257A"/>
    <w:rsid w:val="00ED57B4"/>
    <w:rsid w:val="00EE1A41"/>
    <w:rsid w:val="00EF3B6C"/>
    <w:rsid w:val="00EF3FAB"/>
    <w:rsid w:val="00F3057A"/>
    <w:rsid w:val="00F30E9C"/>
    <w:rsid w:val="00F55E4D"/>
    <w:rsid w:val="00F61752"/>
    <w:rsid w:val="00FD7B65"/>
    <w:rsid w:val="00FE1BBF"/>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99"/>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Text">
    <w:name w:val="Default Text"/>
    <w:basedOn w:val="Normal"/>
    <w:uiPriority w:val="99"/>
    <w:rsid w:val="00455F43"/>
    <w:rPr>
      <w:rFonts w:cs="Arial"/>
      <w:sz w:val="24"/>
      <w:szCs w:val="24"/>
    </w:rPr>
  </w:style>
  <w:style w:type="paragraph" w:customStyle="1" w:styleId="Default">
    <w:name w:val="Default"/>
    <w:uiPriority w:val="99"/>
    <w:rsid w:val="00455F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2277</Words>
  <Characters>12849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phussey@southribble.gov.uk</dc:creator>
  <cp:keywords/>
  <cp:lastModifiedBy>Scambler, Dianne</cp:lastModifiedBy>
  <cp:revision>2</cp:revision>
  <cp:lastPrinted>2018-03-14T11:21:00Z</cp:lastPrinted>
  <dcterms:created xsi:type="dcterms:W3CDTF">2019-02-20T17:54:00Z</dcterms:created>
  <dcterms:modified xsi:type="dcterms:W3CDTF">2019-02-20T17:54:00Z</dcterms:modified>
</cp:coreProperties>
</file>